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lang w:val="en-US" w:eastAsia="zh-CN"/>
        </w:rPr>
        <w:t>康复医学科耗材</w:t>
      </w:r>
      <w:r>
        <w:rPr>
          <w:rFonts w:hint="eastAsia" w:ascii="方正小标宋_GBK" w:hAnsi="方正小标宋_GBK" w:eastAsia="方正小标宋_GBK" w:cs="方正小标宋_GBK"/>
          <w:sz w:val="44"/>
          <w:szCs w:val="44"/>
          <w:shd w:val="clear" w:color="auto" w:fill="FFFFFF"/>
        </w:rPr>
        <w:t>公开论证遴选公告</w:t>
      </w:r>
    </w:p>
    <w:p>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w:t>
      </w:r>
      <w:r>
        <w:rPr>
          <w:rFonts w:hint="eastAsia" w:ascii="方正仿宋_GBK" w:hAnsi="方正仿宋_GBK" w:eastAsia="方正仿宋_GBK" w:cs="方正仿宋_GBK"/>
          <w:sz w:val="32"/>
          <w:szCs w:val="32"/>
          <w:shd w:val="clear" w:color="auto" w:fill="FFFFFF"/>
          <w:lang w:val="en-US" w:eastAsia="zh-CN"/>
        </w:rPr>
        <w:t>康复医学科</w:t>
      </w:r>
      <w:r>
        <w:rPr>
          <w:rFonts w:hint="eastAsia" w:ascii="方正仿宋_GBK" w:hAnsi="方正仿宋_GBK" w:eastAsia="方正仿宋_GBK" w:cs="方正仿宋_GBK"/>
          <w:sz w:val="32"/>
          <w:szCs w:val="32"/>
          <w:shd w:val="clear" w:color="auto" w:fill="FFFFFF"/>
        </w:rPr>
        <w:t>耗材遴选〔202</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rPr>
        <w:t>号）</w:t>
      </w:r>
    </w:p>
    <w:p>
      <w:pPr>
        <w:pStyle w:val="9"/>
        <w:widowControl/>
        <w:spacing w:beforeAutospacing="0" w:afterAutospacing="0" w:line="594" w:lineRule="exact"/>
        <w:jc w:val="both"/>
        <w:rPr>
          <w:rFonts w:ascii="仿宋" w:hAnsi="仿宋" w:eastAsia="仿宋" w:cs="宋体"/>
          <w:kern w:val="2"/>
          <w:sz w:val="28"/>
          <w:szCs w:val="28"/>
        </w:rPr>
      </w:pPr>
    </w:p>
    <w:p>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经重庆市铜梁区人民医院研究决定，我院按政府相关规定对一批医用耗材进行公开论证遴选，欢迎符合条件的遴选人参与遴选。现将有关遴选事宜公告如下：</w:t>
      </w:r>
    </w:p>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拟进的医用耗材试剂品目种类</w:t>
      </w:r>
    </w:p>
    <w:tbl>
      <w:tblPr>
        <w:tblStyle w:val="19"/>
        <w:tblW w:w="9306" w:type="dxa"/>
        <w:jc w:val="center"/>
        <w:tblInd w:w="0" w:type="dxa"/>
        <w:tblLayout w:type="fixed"/>
        <w:tblCellMar>
          <w:top w:w="0" w:type="dxa"/>
          <w:left w:w="0" w:type="dxa"/>
          <w:bottom w:w="0" w:type="dxa"/>
          <w:right w:w="0" w:type="dxa"/>
        </w:tblCellMar>
      </w:tblPr>
      <w:tblGrid>
        <w:gridCol w:w="906"/>
        <w:gridCol w:w="2132"/>
        <w:gridCol w:w="4125"/>
        <w:gridCol w:w="2143"/>
      </w:tblGrid>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序号</w:t>
            </w:r>
          </w:p>
        </w:tc>
        <w:tc>
          <w:tcPr>
            <w:tcW w:w="21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412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医院在用机型</w:t>
            </w:r>
          </w:p>
        </w:tc>
        <w:tc>
          <w:tcPr>
            <w:tcW w:w="2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tblPrEx>
          <w:tblLayout w:type="fixed"/>
          <w:tblCellMar>
            <w:top w:w="0" w:type="dxa"/>
            <w:left w:w="0" w:type="dxa"/>
            <w:bottom w:w="0" w:type="dxa"/>
            <w:right w:w="0" w:type="dxa"/>
          </w:tblCellMar>
        </w:tblPrEx>
        <w:trPr>
          <w:trHeight w:val="720" w:hRule="atLeast"/>
          <w:jc w:val="center"/>
        </w:trPr>
        <w:tc>
          <w:tcPr>
            <w:tcW w:w="90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一</w:t>
            </w:r>
          </w:p>
        </w:tc>
        <w:tc>
          <w:tcPr>
            <w:tcW w:w="2132"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理疗用体表电极</w:t>
            </w:r>
          </w:p>
        </w:tc>
        <w:tc>
          <w:tcPr>
            <w:tcW w:w="412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名称：中频电疗仪，品牌：北京御健，型号：MTZ-H</w:t>
            </w:r>
          </w:p>
        </w:tc>
        <w:tc>
          <w:tcPr>
            <w:tcW w:w="214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tblPrEx>
          <w:tblLayout w:type="fixed"/>
          <w:tblCellMar>
            <w:top w:w="0" w:type="dxa"/>
            <w:left w:w="0" w:type="dxa"/>
            <w:bottom w:w="0" w:type="dxa"/>
            <w:right w:w="0" w:type="dxa"/>
          </w:tblCellMar>
        </w:tblPrEx>
        <w:trPr>
          <w:trHeight w:val="720" w:hRule="atLeast"/>
          <w:jc w:val="center"/>
        </w:trPr>
        <w:tc>
          <w:tcPr>
            <w:tcW w:w="90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p>
        </w:tc>
        <w:tc>
          <w:tcPr>
            <w:tcW w:w="2132"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p>
        </w:tc>
        <w:tc>
          <w:tcPr>
            <w:tcW w:w="412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名称：</w:t>
            </w:r>
            <w:bookmarkStart w:id="0" w:name="OLE_LINK1"/>
            <w:r>
              <w:rPr>
                <w:rFonts w:hint="eastAsia" w:ascii="方正仿宋_GBK" w:hAnsi="方正仿宋_GBK" w:eastAsia="方正仿宋_GBK" w:cs="方正仿宋_GBK"/>
                <w:kern w:val="0"/>
                <w:sz w:val="24"/>
                <w:shd w:val="clear" w:color="auto" w:fill="FFFFFF"/>
                <w:lang w:val="en-US" w:eastAsia="zh-CN" w:bidi="ar"/>
              </w:rPr>
              <w:t>中频电疗仪</w:t>
            </w:r>
            <w:bookmarkEnd w:id="0"/>
            <w:r>
              <w:rPr>
                <w:rFonts w:hint="eastAsia" w:ascii="方正仿宋_GBK" w:hAnsi="方正仿宋_GBK" w:eastAsia="方正仿宋_GBK" w:cs="方正仿宋_GBK"/>
                <w:kern w:val="0"/>
                <w:sz w:val="24"/>
                <w:shd w:val="clear" w:color="auto" w:fill="FFFFFF"/>
                <w:lang w:val="en-US" w:eastAsia="zh-CN" w:bidi="ar"/>
              </w:rPr>
              <w:t>，品牌：成都千里，型号：ZP-100DIVA/ZP-100CSIIIA</w:t>
            </w:r>
          </w:p>
        </w:tc>
        <w:tc>
          <w:tcPr>
            <w:tcW w:w="214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p>
        </w:tc>
      </w:tr>
    </w:tbl>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遴选文件获取方式：本项目遴选文件在重庆市铜梁区人民医院官网（www.tlxrmyy.net）上免费下载。</w:t>
      </w:r>
    </w:p>
    <w:p>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w:t>
      </w:r>
      <w:r>
        <w:rPr>
          <w:rFonts w:hint="eastAsia" w:ascii="方正仿宋_GBK" w:hAnsi="方正仿宋_GBK" w:eastAsia="方正仿宋_GBK" w:cs="方正仿宋_GBK"/>
          <w:kern w:val="0"/>
          <w:sz w:val="32"/>
          <w:szCs w:val="32"/>
          <w:shd w:val="clear" w:color="auto" w:fill="FFFFFF"/>
          <w:lang w:val="en-US" w:eastAsia="zh-CN" w:bidi="ar"/>
        </w:rPr>
        <w:t>9</w:t>
      </w:r>
      <w:r>
        <w:rPr>
          <w:rFonts w:hint="eastAsia" w:ascii="方正仿宋_GBK" w:hAnsi="方正仿宋_GBK" w:eastAsia="方正仿宋_GBK" w:cs="方正仿宋_GBK"/>
          <w:kern w:val="0"/>
          <w:sz w:val="32"/>
          <w:szCs w:val="32"/>
          <w:shd w:val="clear" w:color="auto" w:fill="FFFFFF"/>
          <w:lang w:bidi="ar"/>
        </w:rPr>
        <w:t>医学装备科办公室。</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年</w:t>
      </w:r>
      <w:r>
        <w:rPr>
          <w:rFonts w:hint="eastAsia" w:ascii="方正仿宋_GBK" w:hAnsi="方正仿宋_GBK" w:eastAsia="方正仿宋_GBK" w:cs="方正仿宋_GBK"/>
          <w:kern w:val="0"/>
          <w:sz w:val="32"/>
          <w:szCs w:val="32"/>
          <w:shd w:val="clear" w:color="auto" w:fill="FFFFFF"/>
          <w:lang w:val="en-US" w:eastAsia="zh-CN" w:bidi="ar"/>
        </w:rPr>
        <w:t>11</w:t>
      </w:r>
      <w:r>
        <w:rPr>
          <w:rFonts w:hint="eastAsia" w:ascii="方正仿宋_GBK" w:hAnsi="方正仿宋_GBK" w:eastAsia="方正仿宋_GBK" w:cs="方正仿宋_GBK"/>
          <w:b/>
          <w:bCs/>
          <w:color w:val="auto"/>
          <w:kern w:val="0"/>
          <w:sz w:val="32"/>
          <w:szCs w:val="32"/>
          <w:shd w:val="clear" w:color="auto" w:fill="FFFFFF"/>
          <w:lang w:bidi="ar"/>
        </w:rPr>
        <w:t>月</w:t>
      </w:r>
      <w:r>
        <w:rPr>
          <w:rFonts w:hint="eastAsia" w:ascii="方正仿宋_GBK" w:hAnsi="方正仿宋_GBK" w:eastAsia="方正仿宋_GBK" w:cs="方正仿宋_GBK"/>
          <w:b/>
          <w:bCs/>
          <w:color w:val="auto"/>
          <w:kern w:val="0"/>
          <w:sz w:val="32"/>
          <w:szCs w:val="32"/>
          <w:shd w:val="clear" w:color="auto" w:fill="FFFFFF"/>
          <w:lang w:val="en-US" w:eastAsia="zh-CN" w:bidi="ar"/>
        </w:rPr>
        <w:t>28</w:t>
      </w:r>
      <w:r>
        <w:rPr>
          <w:rFonts w:hint="eastAsia" w:ascii="方正仿宋_GBK" w:hAnsi="方正仿宋_GBK" w:eastAsia="方正仿宋_GBK" w:cs="方正仿宋_GBK"/>
          <w:color w:val="auto"/>
          <w:kern w:val="0"/>
          <w:sz w:val="32"/>
          <w:szCs w:val="32"/>
          <w:shd w:val="clear" w:color="auto" w:fill="FFFFFF"/>
          <w:lang w:bidi="ar"/>
        </w:rPr>
        <w:t>日</w:t>
      </w:r>
      <w:r>
        <w:rPr>
          <w:rFonts w:hint="eastAsia" w:ascii="方正仿宋_GBK" w:hAnsi="方正仿宋_GBK" w:eastAsia="方正仿宋_GBK" w:cs="方正仿宋_GBK"/>
          <w:kern w:val="0"/>
          <w:sz w:val="32"/>
          <w:szCs w:val="32"/>
          <w:shd w:val="clear" w:color="auto" w:fill="FFFFFF"/>
          <w:lang w:val="en-US" w:eastAsia="zh-CN" w:bidi="ar"/>
        </w:rPr>
        <w:t>17</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3</w:t>
      </w:r>
      <w:r>
        <w:rPr>
          <w:rFonts w:hint="eastAsia" w:ascii="方正仿宋_GBK" w:hAnsi="方正仿宋_GBK" w:eastAsia="方正仿宋_GBK" w:cs="方正仿宋_GBK"/>
          <w:kern w:val="0"/>
          <w:sz w:val="32"/>
          <w:szCs w:val="32"/>
          <w:shd w:val="clear" w:color="auto" w:fill="FFFFFF"/>
          <w:lang w:bidi="ar"/>
        </w:rPr>
        <w:t>0分（工作时间内），逾期不予受理。</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w:t>
      </w:r>
      <w:r>
        <w:rPr>
          <w:rFonts w:hint="eastAsia" w:ascii="方正仿宋_GBK" w:hAnsi="方正仿宋_GBK" w:eastAsia="方正仿宋_GBK" w:cs="方正仿宋_GBK"/>
          <w:kern w:val="0"/>
          <w:sz w:val="32"/>
          <w:szCs w:val="32"/>
          <w:shd w:val="clear" w:color="auto" w:fill="FFFFFF"/>
          <w:lang w:val="en-US" w:eastAsia="zh-CN" w:bidi="ar"/>
        </w:rPr>
        <w:t>32914777</w:t>
      </w:r>
      <w:r>
        <w:rPr>
          <w:rFonts w:hint="eastAsia" w:ascii="方正仿宋_GBK" w:hAnsi="方正仿宋_GBK" w:eastAsia="方正仿宋_GBK" w:cs="方正仿宋_GBK"/>
          <w:kern w:val="0"/>
          <w:sz w:val="32"/>
          <w:szCs w:val="32"/>
          <w:shd w:val="clear" w:color="auto" w:fill="FFFFFF"/>
          <w:lang w:bidi="ar"/>
        </w:rPr>
        <w:t>@qq.com），同时携带产品实物进行测试。</w:t>
      </w:r>
    </w:p>
    <w:p>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bookmarkStart w:id="1" w:name="_Toc4387"/>
      <w:r>
        <w:rPr>
          <w:rFonts w:hint="eastAsia" w:ascii="方正仿宋_GBK" w:hAnsi="方正仿宋_GBK" w:eastAsia="方正仿宋_GBK" w:cs="方正仿宋_GBK"/>
          <w:b w:val="0"/>
          <w:bCs w:val="0"/>
          <w:kern w:val="0"/>
          <w:sz w:val="32"/>
          <w:shd w:val="clear" w:color="auto" w:fill="FFFFFF"/>
          <w:lang w:bidi="ar"/>
        </w:rPr>
        <w:t>遴选时间：另行通知。</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邱</w:t>
      </w:r>
      <w:r>
        <w:rPr>
          <w:rFonts w:hint="eastAsia" w:ascii="方正仿宋_GBK" w:hAnsi="方正仿宋_GBK" w:eastAsia="方正仿宋_GBK" w:cs="方正仿宋_GBK"/>
          <w:b w:val="0"/>
          <w:bCs w:val="0"/>
          <w:kern w:val="0"/>
          <w:sz w:val="32"/>
          <w:shd w:val="clear" w:color="auto" w:fill="FFFFFF"/>
          <w:lang w:bidi="ar"/>
        </w:rPr>
        <w:t>老师</w:t>
      </w:r>
    </w:p>
    <w:p>
      <w:pPr>
        <w:pStyle w:val="3"/>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w:t>
      </w:r>
      <w:bookmarkEnd w:id="1"/>
      <w:r>
        <w:rPr>
          <w:rFonts w:hint="eastAsia" w:ascii="方正仿宋_GBK" w:hAnsi="方正仿宋_GBK" w:eastAsia="方正仿宋_GBK" w:cs="方正仿宋_GBK"/>
          <w:b w:val="0"/>
          <w:bCs w:val="0"/>
          <w:kern w:val="0"/>
          <w:sz w:val="32"/>
          <w:shd w:val="clear" w:color="auto" w:fill="FFFFFF"/>
          <w:lang w:val="en-US" w:eastAsia="zh-CN" w:bidi="ar"/>
        </w:rPr>
        <w:t>313</w:t>
      </w:r>
      <w:r>
        <w:rPr>
          <w:rFonts w:hint="eastAsia" w:ascii="方正仿宋_GBK" w:hAnsi="方正仿宋_GBK" w:eastAsia="方正仿宋_GBK" w:cs="方正仿宋_GBK"/>
          <w:b w:val="0"/>
          <w:bCs w:val="0"/>
          <w:kern w:val="0"/>
          <w:sz w:val="32"/>
          <w:shd w:val="clear" w:color="auto" w:fill="FFFFFF"/>
          <w:lang w:bidi="ar"/>
        </w:rPr>
        <w:t xml:space="preserve"> </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bookmarkStart w:id="2" w:name="OLE_LINK5"/>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詹护士长</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bookmarkStart w:id="3" w:name="OLE_LINK7"/>
      <w:bookmarkStart w:id="4" w:name="OLE_LINK6"/>
      <w:r>
        <w:rPr>
          <w:rFonts w:hint="eastAsia" w:ascii="方正仿宋_GBK" w:hAnsi="方正仿宋_GBK" w:eastAsia="方正仿宋_GBK" w:cs="方正仿宋_GBK"/>
          <w:b w:val="0"/>
          <w:bCs w:val="0"/>
          <w:kern w:val="0"/>
          <w:sz w:val="32"/>
          <w:shd w:val="clear" w:color="auto" w:fill="FFFFFF"/>
          <w:lang w:val="en-US" w:eastAsia="zh-CN" w:bidi="ar"/>
        </w:rPr>
        <w:t>1</w:t>
      </w:r>
      <w:bookmarkEnd w:id="3"/>
      <w:bookmarkEnd w:id="4"/>
      <w:r>
        <w:rPr>
          <w:rFonts w:hint="eastAsia" w:ascii="方正仿宋_GBK" w:hAnsi="方正仿宋_GBK" w:eastAsia="方正仿宋_GBK" w:cs="方正仿宋_GBK"/>
          <w:b w:val="0"/>
          <w:bCs w:val="0"/>
          <w:kern w:val="0"/>
          <w:sz w:val="32"/>
          <w:shd w:val="clear" w:color="auto" w:fill="FFFFFF"/>
          <w:lang w:val="en-US" w:eastAsia="zh-CN" w:bidi="ar"/>
        </w:rPr>
        <w:t>3452001483</w:t>
      </w:r>
    </w:p>
    <w:bookmarkEnd w:id="2"/>
    <w:p>
      <w:pPr>
        <w:pStyle w:val="3"/>
        <w:ind w:firstLine="643" w:firstLineChars="200"/>
        <w:rPr>
          <w:rFonts w:ascii="方正仿宋_GBK" w:hAnsi="方正仿宋_GBK" w:eastAsia="方正仿宋_GBK" w:cs="方正仿宋_GBK"/>
          <w:kern w:val="0"/>
          <w:sz w:val="32"/>
          <w:shd w:val="clear" w:color="auto" w:fill="FFFFFF"/>
          <w:lang w:bidi="ar"/>
        </w:rPr>
      </w:pPr>
      <w:bookmarkStart w:id="5" w:name="_Toc7917"/>
      <w:r>
        <w:rPr>
          <w:rFonts w:hint="eastAsia" w:ascii="方正仿宋_GBK" w:hAnsi="方正仿宋_GBK" w:eastAsia="方正仿宋_GBK" w:cs="方正仿宋_GBK"/>
          <w:kern w:val="0"/>
          <w:sz w:val="32"/>
          <w:shd w:val="clear" w:color="auto" w:fill="FFFFFF"/>
          <w:lang w:bidi="ar"/>
        </w:rPr>
        <w:t>五、监督管理</w:t>
      </w:r>
      <w:bookmarkEnd w:id="5"/>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pPr>
        <w:pStyle w:val="3"/>
        <w:ind w:firstLine="643" w:firstLineChars="200"/>
        <w:rPr>
          <w:rFonts w:ascii="方正仿宋_GBK" w:hAnsi="方正仿宋_GBK" w:eastAsia="方正仿宋_GBK" w:cs="方正仿宋_GBK"/>
          <w:kern w:val="0"/>
          <w:sz w:val="32"/>
          <w:shd w:val="clear" w:color="auto" w:fill="FFFFFF"/>
          <w:lang w:bidi="ar"/>
        </w:rPr>
      </w:pPr>
      <w:bookmarkStart w:id="6" w:name="_Toc6913"/>
      <w:r>
        <w:rPr>
          <w:rFonts w:hint="eastAsia" w:ascii="方正仿宋_GBK" w:hAnsi="方正仿宋_GBK" w:eastAsia="方正仿宋_GBK" w:cs="方正仿宋_GBK"/>
          <w:kern w:val="0"/>
          <w:sz w:val="32"/>
          <w:shd w:val="clear" w:color="auto" w:fill="FFFFFF"/>
          <w:lang w:bidi="ar"/>
        </w:rPr>
        <w:t>六、解释权</w:t>
      </w:r>
      <w:bookmarkEnd w:id="6"/>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pPr>
        <w:jc w:val="center"/>
        <w:outlineLvl w:val="0"/>
        <w:rPr>
          <w:rFonts w:ascii="仿宋" w:hAnsi="仿宋" w:eastAsia="仿宋" w:cs="华文中宋"/>
          <w:b/>
          <w:sz w:val="84"/>
          <w:szCs w:val="84"/>
        </w:rPr>
      </w:pPr>
      <w:bookmarkStart w:id="7" w:name="_Toc4049"/>
      <w:bookmarkStart w:id="8" w:name="_Toc30412"/>
      <w:bookmarkStart w:id="9" w:name="_Toc23878"/>
      <w:r>
        <w:rPr>
          <w:rFonts w:hint="eastAsia" w:ascii="仿宋" w:hAnsi="仿宋" w:eastAsia="仿宋" w:cs="华文中宋"/>
          <w:b/>
          <w:sz w:val="84"/>
          <w:szCs w:val="84"/>
        </w:rPr>
        <w:t>重庆市铜梁区人民医院</w:t>
      </w:r>
      <w:bookmarkEnd w:id="7"/>
      <w:bookmarkEnd w:id="8"/>
      <w:bookmarkEnd w:id="9"/>
    </w:p>
    <w:p>
      <w:pPr>
        <w:jc w:val="center"/>
        <w:rPr>
          <w:rFonts w:ascii="仿宋" w:hAnsi="仿宋" w:eastAsia="仿宋" w:cs="华文中宋"/>
          <w:b/>
          <w:sz w:val="84"/>
          <w:szCs w:val="84"/>
        </w:rPr>
      </w:pPr>
      <w:r>
        <w:rPr>
          <w:rFonts w:hint="eastAsia" w:ascii="仿宋" w:hAnsi="仿宋" w:eastAsia="仿宋" w:cs="华文中宋"/>
          <w:b/>
          <w:sz w:val="84"/>
          <w:szCs w:val="84"/>
        </w:rPr>
        <w:t>遴选文件</w:t>
      </w:r>
    </w:p>
    <w:p>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pPr>
        <w:ind w:left="328" w:leftChars="6" w:hanging="315" w:hangingChars="98"/>
        <w:jc w:val="center"/>
        <w:rPr>
          <w:rFonts w:ascii="仿宋" w:hAnsi="仿宋" w:eastAsia="仿宋"/>
          <w:b/>
          <w:sz w:val="32"/>
          <w:szCs w:val="32"/>
        </w:rPr>
      </w:pPr>
    </w:p>
    <w:p>
      <w:pPr>
        <w:snapToGrid w:val="0"/>
        <w:spacing w:line="480" w:lineRule="auto"/>
        <w:ind w:left="328" w:leftChars="6" w:hanging="315" w:hangingChars="98"/>
        <w:rPr>
          <w:rFonts w:ascii="仿宋" w:hAnsi="仿宋" w:eastAsia="仿宋"/>
          <w:b/>
          <w:sz w:val="32"/>
          <w:szCs w:val="32"/>
        </w:rPr>
      </w:pPr>
    </w:p>
    <w:p>
      <w:pPr>
        <w:adjustRightInd w:val="0"/>
        <w:snapToGrid w:val="0"/>
        <w:spacing w:line="360" w:lineRule="auto"/>
        <w:ind w:firstLine="663" w:firstLineChars="150"/>
        <w:rPr>
          <w:rFonts w:hint="default" w:ascii="仿宋" w:hAnsi="仿宋" w:eastAsia="仿宋" w:cs="华文中宋"/>
          <w:b/>
          <w:sz w:val="44"/>
          <w:szCs w:val="44"/>
          <w:lang w:val="en-US"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康复医学科理疗用体表电极</w:t>
      </w:r>
    </w:p>
    <w:p>
      <w:pPr>
        <w:adjustRightInd w:val="0"/>
        <w:snapToGrid w:val="0"/>
        <w:spacing w:line="360" w:lineRule="auto"/>
        <w:ind w:firstLine="663" w:firstLineChars="150"/>
        <w:outlineLvl w:val="0"/>
        <w:rPr>
          <w:rFonts w:ascii="仿宋" w:hAnsi="仿宋" w:eastAsia="仿宋" w:cs="华文中宋"/>
          <w:b/>
          <w:sz w:val="44"/>
          <w:szCs w:val="44"/>
        </w:rPr>
      </w:pPr>
      <w:bookmarkStart w:id="10" w:name="_Toc19948"/>
      <w:bookmarkStart w:id="11" w:name="_Toc24405"/>
      <w:bookmarkStart w:id="12" w:name="_Toc25426"/>
      <w:r>
        <w:rPr>
          <w:rFonts w:hint="eastAsia" w:ascii="仿宋" w:hAnsi="仿宋" w:eastAsia="仿宋" w:cs="华文中宋"/>
          <w:b/>
          <w:sz w:val="44"/>
          <w:szCs w:val="44"/>
        </w:rPr>
        <w:t>项目编号：</w:t>
      </w:r>
      <w:bookmarkEnd w:id="10"/>
      <w:bookmarkEnd w:id="11"/>
      <w:bookmarkEnd w:id="12"/>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5</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24</w:t>
      </w:r>
      <w:r>
        <w:rPr>
          <w:rFonts w:hint="eastAsia" w:ascii="仿宋" w:hAnsi="仿宋" w:eastAsia="仿宋" w:cs="华文中宋"/>
          <w:b/>
          <w:color w:val="auto"/>
          <w:sz w:val="44"/>
          <w:szCs w:val="44"/>
        </w:rPr>
        <w:t>号</w:t>
      </w:r>
    </w:p>
    <w:p>
      <w:pPr>
        <w:adjustRightInd w:val="0"/>
        <w:snapToGrid w:val="0"/>
        <w:spacing w:line="360" w:lineRule="auto"/>
        <w:ind w:firstLine="663" w:firstLineChars="150"/>
        <w:outlineLvl w:val="0"/>
        <w:rPr>
          <w:rFonts w:ascii="仿宋" w:hAnsi="仿宋" w:eastAsia="仿宋" w:cs="华文中宋"/>
          <w:b/>
          <w:sz w:val="44"/>
          <w:szCs w:val="44"/>
        </w:rPr>
      </w:pPr>
      <w:bookmarkStart w:id="13" w:name="_Toc178"/>
      <w:bookmarkStart w:id="14" w:name="_Toc21379"/>
      <w:bookmarkStart w:id="15" w:name="_Toc1078"/>
      <w:r>
        <w:rPr>
          <w:rFonts w:hint="eastAsia" w:ascii="仿宋" w:hAnsi="仿宋" w:eastAsia="仿宋" w:cs="华文中宋"/>
          <w:b/>
          <w:sz w:val="44"/>
          <w:szCs w:val="44"/>
        </w:rPr>
        <w:t>遴 选 人：重庆市铜梁区人民医院</w:t>
      </w:r>
      <w:bookmarkEnd w:id="13"/>
      <w:bookmarkEnd w:id="14"/>
      <w:bookmarkEnd w:id="15"/>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6" w:name="_Toc30537"/>
      <w:bookmarkStart w:id="17" w:name="_Toc23577"/>
      <w:bookmarkStart w:id="18" w:name="_Toc31576"/>
      <w:r>
        <w:rPr>
          <w:rFonts w:hint="eastAsia" w:ascii="仿宋" w:hAnsi="仿宋" w:eastAsia="仿宋" w:cs="华文中宋"/>
          <w:b/>
          <w:sz w:val="28"/>
          <w:szCs w:val="28"/>
        </w:rPr>
        <w:t>重庆市铜梁区人民医院制</w:t>
      </w:r>
      <w:bookmarkEnd w:id="16"/>
      <w:bookmarkEnd w:id="17"/>
      <w:bookmarkEnd w:id="18"/>
    </w:p>
    <w:p>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19" w:name="_Toc27085"/>
      <w:bookmarkStart w:id="20" w:name="_Toc11779"/>
      <w:bookmarkStart w:id="21" w:name="_Toc967"/>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五</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十一</w:t>
      </w:r>
      <w:r>
        <w:rPr>
          <w:rFonts w:hint="eastAsia" w:ascii="仿宋" w:hAnsi="仿宋" w:eastAsia="仿宋" w:cs="华文中宋"/>
          <w:b/>
          <w:sz w:val="36"/>
          <w:szCs w:val="36"/>
        </w:rPr>
        <w:t>月</w:t>
      </w:r>
      <w:bookmarkEnd w:id="19"/>
      <w:bookmarkEnd w:id="20"/>
      <w:bookmarkEnd w:id="21"/>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二、本次拟新进的医用耗材试剂品目种类</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（二）拟进的品目种类</w:t>
      </w:r>
    </w:p>
    <w:tbl>
      <w:tblPr>
        <w:tblStyle w:val="19"/>
        <w:tblpPr w:leftFromText="180" w:rightFromText="180" w:vertAnchor="text" w:horzAnchor="page" w:tblpX="1047" w:tblpY="234"/>
        <w:tblOverlap w:val="never"/>
        <w:tblW w:w="9780" w:type="dxa"/>
        <w:tblInd w:w="0" w:type="dxa"/>
        <w:shd w:val="clear" w:color="auto" w:fill="auto"/>
        <w:tblLayout w:type="fixed"/>
        <w:tblCellMar>
          <w:top w:w="0" w:type="dxa"/>
          <w:left w:w="0" w:type="dxa"/>
          <w:bottom w:w="0" w:type="dxa"/>
          <w:right w:w="0" w:type="dxa"/>
        </w:tblCellMar>
      </w:tblPr>
      <w:tblGrid>
        <w:gridCol w:w="1687"/>
        <w:gridCol w:w="930"/>
        <w:gridCol w:w="960"/>
        <w:gridCol w:w="540"/>
        <w:gridCol w:w="885"/>
        <w:gridCol w:w="705"/>
        <w:gridCol w:w="3067"/>
        <w:gridCol w:w="1006"/>
      </w:tblGrid>
      <w:tr>
        <w:tblPrEx>
          <w:tblLayout w:type="fixed"/>
          <w:tblCellMar>
            <w:top w:w="0" w:type="dxa"/>
            <w:left w:w="0" w:type="dxa"/>
            <w:bottom w:w="0" w:type="dxa"/>
            <w:right w:w="0" w:type="dxa"/>
          </w:tblCellMar>
        </w:tblPrEx>
        <w:trPr>
          <w:trHeight w:val="54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遴选</w:t>
            </w:r>
            <w:r>
              <w:rPr>
                <w:rFonts w:hint="eastAsia" w:asciiTheme="minorEastAsia" w:hAnsiTheme="minorEastAsia" w:cstheme="minorEastAsia"/>
                <w:i w:val="0"/>
                <w:color w:val="000000"/>
                <w:kern w:val="0"/>
                <w:sz w:val="20"/>
                <w:szCs w:val="20"/>
                <w:u w:val="none"/>
                <w:lang w:val="en-US" w:eastAsia="zh-CN" w:bidi="ar"/>
              </w:rPr>
              <w:t>耗材</w:t>
            </w:r>
            <w:r>
              <w:rPr>
                <w:rFonts w:hint="eastAsia" w:asciiTheme="minorEastAsia" w:hAnsiTheme="minorEastAsia" w:eastAsiaTheme="minorEastAsia" w:cstheme="minorEastAsia"/>
                <w:i w:val="0"/>
                <w:color w:val="000000"/>
                <w:kern w:val="0"/>
                <w:sz w:val="20"/>
                <w:szCs w:val="20"/>
                <w:u w:val="none"/>
                <w:lang w:val="en-US" w:eastAsia="zh-CN" w:bidi="ar"/>
              </w:rPr>
              <w:t>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医院目前在用</w:t>
            </w:r>
            <w:r>
              <w:rPr>
                <w:rFonts w:hint="eastAsia" w:asciiTheme="minorEastAsia" w:hAnsiTheme="minorEastAsia" w:cstheme="minorEastAsia"/>
                <w:i w:val="0"/>
                <w:color w:val="000000"/>
                <w:kern w:val="0"/>
                <w:sz w:val="20"/>
                <w:szCs w:val="20"/>
                <w:u w:val="none"/>
                <w:lang w:val="en-US" w:eastAsia="zh-CN" w:bidi="ar"/>
              </w:rPr>
              <w:t>品牌</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医院目前在用</w:t>
            </w:r>
            <w:r>
              <w:rPr>
                <w:rFonts w:hint="eastAsia" w:asciiTheme="minorEastAsia" w:hAnsiTheme="minorEastAsia" w:cstheme="minorEastAsia"/>
                <w:i w:val="0"/>
                <w:color w:val="000000"/>
                <w:kern w:val="0"/>
                <w:sz w:val="20"/>
                <w:szCs w:val="20"/>
                <w:u w:val="none"/>
                <w:lang w:val="en-US" w:eastAsia="zh-CN" w:bidi="ar"/>
              </w:rPr>
              <w:t>规格型号</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单价限价（元）</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预估年用量</w:t>
            </w:r>
          </w:p>
        </w:tc>
        <w:tc>
          <w:tcPr>
            <w:tcW w:w="3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适用范围</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适用科室</w:t>
            </w:r>
          </w:p>
        </w:tc>
      </w:tr>
      <w:tr>
        <w:tblPrEx>
          <w:tblLayout w:type="fixed"/>
          <w:tblCellMar>
            <w:top w:w="0" w:type="dxa"/>
            <w:left w:w="0" w:type="dxa"/>
            <w:bottom w:w="0" w:type="dxa"/>
            <w:right w:w="0" w:type="dxa"/>
          </w:tblCellMar>
        </w:tblPrEx>
        <w:trPr>
          <w:trHeight w:val="908" w:hRule="atLeast"/>
        </w:trPr>
        <w:tc>
          <w:tcPr>
            <w:tcW w:w="16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理疗用体表电极</w:t>
            </w:r>
          </w:p>
        </w:tc>
        <w:tc>
          <w:tcPr>
            <w:tcW w:w="9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河南享科</w:t>
            </w:r>
          </w:p>
        </w:tc>
        <w:tc>
          <w:tcPr>
            <w:tcW w:w="9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50mmx70mm/50mmx50mm</w:t>
            </w:r>
          </w:p>
        </w:tc>
        <w:tc>
          <w:tcPr>
            <w:tcW w:w="5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贴</w:t>
            </w:r>
          </w:p>
        </w:tc>
        <w:tc>
          <w:tcPr>
            <w:tcW w:w="8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5</w:t>
            </w:r>
          </w:p>
        </w:tc>
        <w:tc>
          <w:tcPr>
            <w:tcW w:w="7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10000</w:t>
            </w:r>
          </w:p>
        </w:tc>
        <w:tc>
          <w:tcPr>
            <w:tcW w:w="30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中频治疗仪的主要作用包括缓解疼痛、促进血液循环、锻炼肌肉以及调节神经功能等该产品为‌配合中频电疗仪使用。</w:t>
            </w:r>
          </w:p>
        </w:tc>
        <w:tc>
          <w:tcPr>
            <w:tcW w:w="10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康复医学科</w:t>
            </w:r>
          </w:p>
        </w:tc>
      </w:tr>
    </w:tbl>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6.</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pPr>
        <w:pStyle w:val="2"/>
        <w:ind w:left="0" w:leftChars="0" w:firstLine="0" w:firstLineChars="0"/>
        <w:rPr>
          <w:rFonts w:hint="default"/>
          <w:lang w:val="en-US" w:eastAsia="zh-CN"/>
        </w:rPr>
      </w:pPr>
      <w:r>
        <w:rPr>
          <w:rFonts w:hint="eastAsia" w:ascii="宋体" w:hAnsi="宋体" w:eastAsia="宋体" w:cs="宋体"/>
          <w:b/>
          <w:bCs/>
          <w:color w:val="000000"/>
          <w:kern w:val="0"/>
          <w:sz w:val="28"/>
          <w:szCs w:val="28"/>
          <w:lang w:val="en-US" w:eastAsia="zh-CN" w:bidi="ar"/>
        </w:rPr>
        <w:t>7.报名产品必须适用于我院在用机型，且不能对该设备造成任何损坏。</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docGrid w:type="lines" w:linePitch="319"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9"/>
        <w:tblW w:w="8765" w:type="dxa"/>
        <w:tblInd w:w="0" w:type="dxa"/>
        <w:tblLayout w:type="fixed"/>
        <w:tblCellMar>
          <w:top w:w="0" w:type="dxa"/>
          <w:left w:w="0" w:type="dxa"/>
          <w:bottom w:w="0" w:type="dxa"/>
          <w:right w:w="0" w:type="dxa"/>
        </w:tblCellMar>
      </w:tblPr>
      <w:tblGrid>
        <w:gridCol w:w="2385"/>
        <w:gridCol w:w="6380"/>
      </w:tblGrid>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tblPrEx>
          <w:tblLayout w:type="fixed"/>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24</w:t>
            </w:r>
            <w:r>
              <w:rPr>
                <w:rFonts w:hint="eastAsia" w:ascii="方正仿宋_GBK" w:hAnsi="方正仿宋_GBK" w:eastAsia="方正仿宋_GBK" w:cs="方正仿宋_GBK"/>
                <w:kern w:val="0"/>
                <w:sz w:val="32"/>
                <w:szCs w:val="32"/>
                <w:shd w:val="clear" w:color="auto" w:fill="FFFFFF"/>
                <w:lang w:bidi="ar"/>
              </w:rPr>
              <w:t>号</w:t>
            </w: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方正仿宋_GBK" w:hAnsi="方正仿宋_GBK" w:eastAsia="方正仿宋_GBK" w:cs="方正仿宋_GBK"/>
                <w:kern w:val="0"/>
                <w:sz w:val="32"/>
                <w:szCs w:val="32"/>
                <w:shd w:val="clear" w:color="auto" w:fill="FFFFFF"/>
                <w:lang w:bidi="ar"/>
              </w:rPr>
            </w:pPr>
          </w:p>
        </w:tc>
      </w:tr>
    </w:tbl>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800" w:right="1440" w:bottom="1800" w:left="1440"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仿宋_GBK" w:hAnsi="方正仿宋_GBK" w:eastAsia="方正仿宋_GBK" w:cs="方正仿宋_GBK"/>
          <w:color w:val="666666"/>
          <w:sz w:val="32"/>
          <w:szCs w:val="32"/>
          <w:shd w:val="clear" w:color="auto" w:fill="FFFFFF"/>
          <w:lang w:eastAsia="zh-CN"/>
        </w:rPr>
        <w:t>。</w:t>
      </w:r>
    </w:p>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9"/>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r>
        <w:rPr>
          <w:rFonts w:hint="eastAsia" w:ascii="方正仿宋_GBK" w:hAnsi="方正仿宋_GBK" w:eastAsia="方正仿宋_GBK" w:cs="方正仿宋_GBK"/>
          <w:sz w:val="32"/>
          <w:szCs w:val="32"/>
          <w:shd w:val="clear" w:color="auto" w:fill="FFFFFF"/>
          <w:lang w:eastAsia="zh-CN"/>
        </w:rPr>
        <w:t>。</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邱</w:t>
      </w:r>
      <w:r>
        <w:rPr>
          <w:rFonts w:hint="eastAsia" w:ascii="方正仿宋_GBK" w:hAnsi="方正仿宋_GBK" w:eastAsia="方正仿宋_GBK" w:cs="方正仿宋_GBK"/>
          <w:sz w:val="32"/>
          <w:szCs w:val="32"/>
          <w:shd w:val="clear" w:color="auto" w:fill="FFFFFF"/>
        </w:rPr>
        <w:t>老师</w:t>
      </w:r>
    </w:p>
    <w:p>
      <w:pPr>
        <w:pStyle w:val="9"/>
        <w:widowControl/>
        <w:spacing w:beforeAutospacing="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联系方式: 023-45656</w:t>
      </w:r>
      <w:r>
        <w:rPr>
          <w:rFonts w:hint="eastAsia" w:ascii="方正仿宋_GBK" w:hAnsi="方正仿宋_GBK" w:eastAsia="方正仿宋_GBK" w:cs="方正仿宋_GBK"/>
          <w:sz w:val="32"/>
          <w:szCs w:val="32"/>
          <w:shd w:val="clear" w:color="auto" w:fill="FFFFFF"/>
          <w:lang w:val="en-US" w:eastAsia="zh-CN"/>
        </w:rPr>
        <w:t>313</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sz w:val="32"/>
          <w:szCs w:val="32"/>
          <w:shd w:val="clear" w:color="auto" w:fill="FFFFFF"/>
          <w:lang w:val="en-US" w:eastAsia="zh-CN"/>
        </w:rPr>
        <w:t>32914777</w:t>
      </w:r>
      <w:r>
        <w:rPr>
          <w:rFonts w:hint="eastAsia" w:ascii="方正仿宋_GBK" w:hAnsi="方正仿宋_GBK" w:eastAsia="方正仿宋_GBK" w:cs="方正仿宋_GBK"/>
          <w:sz w:val="32"/>
          <w:szCs w:val="32"/>
          <w:shd w:val="clear" w:color="auto" w:fill="FFFFFF"/>
        </w:rPr>
        <w:t>@QQ.COM</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詹护士长</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r>
        <w:rPr>
          <w:rFonts w:hint="eastAsia" w:ascii="方正仿宋_GBK" w:hAnsi="方正仿宋_GBK" w:eastAsia="方正仿宋_GBK" w:cs="方正仿宋_GBK"/>
          <w:b w:val="0"/>
          <w:bCs w:val="0"/>
          <w:kern w:val="0"/>
          <w:sz w:val="32"/>
          <w:shd w:val="clear" w:color="auto" w:fill="FFFFFF"/>
          <w:lang w:val="en-US" w:eastAsia="zh-CN" w:bidi="ar"/>
        </w:rPr>
        <w:t>13452001483</w:t>
      </w:r>
    </w:p>
    <w:p>
      <w:pPr>
        <w:ind w:firstLine="420" w:firstLineChars="200"/>
        <w:rPr>
          <w:rFonts w:hint="default" w:eastAsia="方正仿宋_GBK"/>
          <w:lang w:val="en-US" w:eastAsia="zh-CN"/>
        </w:rPr>
      </w:pPr>
    </w:p>
    <w:p>
      <w:pPr>
        <w:pStyle w:val="2"/>
        <w:sectPr>
          <w:pgSz w:w="11906" w:h="16838"/>
          <w:pgMar w:top="1440" w:right="1803" w:bottom="1440" w:left="1803" w:header="851" w:footer="992" w:gutter="0"/>
          <w:pgNumType w:fmt="decimal"/>
          <w:cols w:space="0" w:num="1"/>
          <w:docGrid w:type="lines" w:linePitch="319" w:charSpace="0"/>
        </w:sectPr>
      </w:pPr>
      <w:bookmarkStart w:id="22" w:name="_GoBack"/>
      <w:bookmarkEnd w:id="22"/>
    </w:p>
    <w:p>
      <w:pPr>
        <w:pStyle w:val="2"/>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pPr>
        <w:pStyle w:val="2"/>
        <w:rPr>
          <w:rFonts w:hint="eastAsia"/>
          <w:lang w:eastAsia="zh-CN"/>
        </w:rPr>
      </w:pPr>
      <w:r>
        <w:rPr>
          <w:rFonts w:hint="eastAsia"/>
          <w:lang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pPr>
        <w:rPr>
          <w:rFonts w:hint="eastAsia"/>
          <w:lang w:eastAsia="zh-CN"/>
        </w:rPr>
        <w:sectPr>
          <w:pgSz w:w="11906" w:h="16838"/>
          <w:pgMar w:top="1440" w:right="1803" w:bottom="1440" w:left="1803"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32914777@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2</w:t>
      </w:r>
      <w:r>
        <w:rPr>
          <w:rFonts w:hint="eastAsia" w:ascii="仿宋" w:hAnsi="仿宋" w:eastAsia="仿宋" w:cs="仿宋"/>
          <w:color w:val="666666"/>
          <w:sz w:val="24"/>
          <w:shd w:val="clear" w:color="auto" w:fill="FFFFFF"/>
        </w:rPr>
        <w:t>：</w:t>
      </w:r>
    </w:p>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docGrid w:type="lines" w:linePitch="319" w:charSpace="0"/>
        </w:sectPr>
      </w:pPr>
      <w:r>
        <w:rPr>
          <w:rFonts w:hint="eastAsia" w:ascii="方正仿宋_GBK" w:hAnsi="方正仿宋_GBK" w:eastAsia="方正仿宋_GBK" w:cs="方正仿宋_GBK"/>
          <w:kern w:val="0"/>
          <w:sz w:val="28"/>
          <w:szCs w:val="28"/>
        </w:rPr>
        <w:t xml:space="preserve">                                    年   月   </w:t>
      </w:r>
    </w:p>
    <w:p>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kMDdkM2I2YWU1MzAxMWM1NzU4YTZmM2VkYzNjYTg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2F76AD"/>
    <w:rsid w:val="015B2944"/>
    <w:rsid w:val="0256692A"/>
    <w:rsid w:val="02751295"/>
    <w:rsid w:val="04C837EF"/>
    <w:rsid w:val="06A162D4"/>
    <w:rsid w:val="06CE10EF"/>
    <w:rsid w:val="085E4D7E"/>
    <w:rsid w:val="0A25546E"/>
    <w:rsid w:val="0A4D4E1A"/>
    <w:rsid w:val="0BB059EC"/>
    <w:rsid w:val="0C233F32"/>
    <w:rsid w:val="0C3D7B46"/>
    <w:rsid w:val="0E502E2C"/>
    <w:rsid w:val="10CF5DF5"/>
    <w:rsid w:val="11420988"/>
    <w:rsid w:val="11945AC6"/>
    <w:rsid w:val="11B8311C"/>
    <w:rsid w:val="1239584C"/>
    <w:rsid w:val="1368716E"/>
    <w:rsid w:val="1401481C"/>
    <w:rsid w:val="147766B9"/>
    <w:rsid w:val="154B3704"/>
    <w:rsid w:val="15663F67"/>
    <w:rsid w:val="15810A04"/>
    <w:rsid w:val="15864CF5"/>
    <w:rsid w:val="15C0228C"/>
    <w:rsid w:val="15DD7119"/>
    <w:rsid w:val="16215986"/>
    <w:rsid w:val="16C917DD"/>
    <w:rsid w:val="17303E8A"/>
    <w:rsid w:val="18137B7E"/>
    <w:rsid w:val="186A3C16"/>
    <w:rsid w:val="1A666860"/>
    <w:rsid w:val="1AF716F0"/>
    <w:rsid w:val="1BAE581E"/>
    <w:rsid w:val="1BD45B34"/>
    <w:rsid w:val="1CC24D43"/>
    <w:rsid w:val="1D095D80"/>
    <w:rsid w:val="1D151B23"/>
    <w:rsid w:val="1DB35EB1"/>
    <w:rsid w:val="1DF84B02"/>
    <w:rsid w:val="1DFE3515"/>
    <w:rsid w:val="1E693BF9"/>
    <w:rsid w:val="1EDD6F03"/>
    <w:rsid w:val="1F3B0C51"/>
    <w:rsid w:val="2117180B"/>
    <w:rsid w:val="216B754B"/>
    <w:rsid w:val="21881A33"/>
    <w:rsid w:val="21B041AD"/>
    <w:rsid w:val="22B74101"/>
    <w:rsid w:val="236B2973"/>
    <w:rsid w:val="23766A7B"/>
    <w:rsid w:val="23EE3F4D"/>
    <w:rsid w:val="23FB5D21"/>
    <w:rsid w:val="24CA12D6"/>
    <w:rsid w:val="251D1C03"/>
    <w:rsid w:val="25EB176A"/>
    <w:rsid w:val="282211E5"/>
    <w:rsid w:val="282F2169"/>
    <w:rsid w:val="28634F81"/>
    <w:rsid w:val="2881375F"/>
    <w:rsid w:val="2913501D"/>
    <w:rsid w:val="2937657E"/>
    <w:rsid w:val="29C05316"/>
    <w:rsid w:val="2A8953E4"/>
    <w:rsid w:val="2AB6066C"/>
    <w:rsid w:val="2AFA1CC7"/>
    <w:rsid w:val="2C08495B"/>
    <w:rsid w:val="2CA22856"/>
    <w:rsid w:val="2E5C7E53"/>
    <w:rsid w:val="2EDB3148"/>
    <w:rsid w:val="31EF4FC7"/>
    <w:rsid w:val="32174420"/>
    <w:rsid w:val="335D5604"/>
    <w:rsid w:val="33685951"/>
    <w:rsid w:val="33E464A2"/>
    <w:rsid w:val="34585C82"/>
    <w:rsid w:val="34A253F2"/>
    <w:rsid w:val="35036AA1"/>
    <w:rsid w:val="352900C3"/>
    <w:rsid w:val="357905CB"/>
    <w:rsid w:val="358513D9"/>
    <w:rsid w:val="362A07D0"/>
    <w:rsid w:val="362D4443"/>
    <w:rsid w:val="3680137C"/>
    <w:rsid w:val="368E763A"/>
    <w:rsid w:val="38220B7D"/>
    <w:rsid w:val="383A2EDB"/>
    <w:rsid w:val="38CB5DBB"/>
    <w:rsid w:val="395C785C"/>
    <w:rsid w:val="39F40FF3"/>
    <w:rsid w:val="3A791B6D"/>
    <w:rsid w:val="3AAD0E29"/>
    <w:rsid w:val="3B575C0B"/>
    <w:rsid w:val="3B6A3B47"/>
    <w:rsid w:val="3BF07DC0"/>
    <w:rsid w:val="3D6076A8"/>
    <w:rsid w:val="3E3A6059"/>
    <w:rsid w:val="3E3A7DF6"/>
    <w:rsid w:val="3EFA7989"/>
    <w:rsid w:val="3F6B203E"/>
    <w:rsid w:val="3F9F2871"/>
    <w:rsid w:val="3FC77F59"/>
    <w:rsid w:val="405E3179"/>
    <w:rsid w:val="40FA6C0C"/>
    <w:rsid w:val="42FB257E"/>
    <w:rsid w:val="43511956"/>
    <w:rsid w:val="44D82B2F"/>
    <w:rsid w:val="464A5C43"/>
    <w:rsid w:val="466D58DD"/>
    <w:rsid w:val="46B36399"/>
    <w:rsid w:val="46C84138"/>
    <w:rsid w:val="476F1684"/>
    <w:rsid w:val="48002A7E"/>
    <w:rsid w:val="48A35166"/>
    <w:rsid w:val="48E318F9"/>
    <w:rsid w:val="49E262C6"/>
    <w:rsid w:val="4AB74A93"/>
    <w:rsid w:val="4C9B38C3"/>
    <w:rsid w:val="4CB5232C"/>
    <w:rsid w:val="4CF172AB"/>
    <w:rsid w:val="4D6C500D"/>
    <w:rsid w:val="4DCD1407"/>
    <w:rsid w:val="4DF25FFF"/>
    <w:rsid w:val="4F6166CE"/>
    <w:rsid w:val="50040A7A"/>
    <w:rsid w:val="51FF54ED"/>
    <w:rsid w:val="52095286"/>
    <w:rsid w:val="522949EF"/>
    <w:rsid w:val="528457B4"/>
    <w:rsid w:val="52C7243B"/>
    <w:rsid w:val="530414F2"/>
    <w:rsid w:val="53B50C25"/>
    <w:rsid w:val="54234529"/>
    <w:rsid w:val="54CC3EFB"/>
    <w:rsid w:val="54EE6CF5"/>
    <w:rsid w:val="551C283D"/>
    <w:rsid w:val="56274408"/>
    <w:rsid w:val="568C3934"/>
    <w:rsid w:val="5720121C"/>
    <w:rsid w:val="573C2832"/>
    <w:rsid w:val="577537D9"/>
    <w:rsid w:val="57EE79EA"/>
    <w:rsid w:val="58EC6C77"/>
    <w:rsid w:val="59383E73"/>
    <w:rsid w:val="59C37C8C"/>
    <w:rsid w:val="59F94784"/>
    <w:rsid w:val="5AA86F4D"/>
    <w:rsid w:val="5AF544FE"/>
    <w:rsid w:val="5B336B27"/>
    <w:rsid w:val="5B7A2DD4"/>
    <w:rsid w:val="5B816072"/>
    <w:rsid w:val="5CDD2245"/>
    <w:rsid w:val="5D91216F"/>
    <w:rsid w:val="5DEC4BA1"/>
    <w:rsid w:val="5E8E0D0F"/>
    <w:rsid w:val="5F655441"/>
    <w:rsid w:val="604518C4"/>
    <w:rsid w:val="606D03A2"/>
    <w:rsid w:val="614A49A8"/>
    <w:rsid w:val="61B5050F"/>
    <w:rsid w:val="62BE046D"/>
    <w:rsid w:val="63722379"/>
    <w:rsid w:val="63883B68"/>
    <w:rsid w:val="638A0356"/>
    <w:rsid w:val="6390645F"/>
    <w:rsid w:val="63946A36"/>
    <w:rsid w:val="63E24175"/>
    <w:rsid w:val="6426629A"/>
    <w:rsid w:val="648857F2"/>
    <w:rsid w:val="6496372C"/>
    <w:rsid w:val="649840F8"/>
    <w:rsid w:val="65124BA6"/>
    <w:rsid w:val="654224FB"/>
    <w:rsid w:val="654D52C4"/>
    <w:rsid w:val="674E6871"/>
    <w:rsid w:val="68120B22"/>
    <w:rsid w:val="682931BA"/>
    <w:rsid w:val="684A71BC"/>
    <w:rsid w:val="68D221D1"/>
    <w:rsid w:val="68F568C8"/>
    <w:rsid w:val="691033A1"/>
    <w:rsid w:val="6AD248C0"/>
    <w:rsid w:val="6B287715"/>
    <w:rsid w:val="6BB21E1C"/>
    <w:rsid w:val="6BBC1DFD"/>
    <w:rsid w:val="6BC61035"/>
    <w:rsid w:val="6C4966FA"/>
    <w:rsid w:val="6C5C19DE"/>
    <w:rsid w:val="6D7B3142"/>
    <w:rsid w:val="6DEE05F8"/>
    <w:rsid w:val="6E7E68D0"/>
    <w:rsid w:val="6F4B4D9F"/>
    <w:rsid w:val="703065D3"/>
    <w:rsid w:val="70335391"/>
    <w:rsid w:val="70E7242D"/>
    <w:rsid w:val="70E90CBA"/>
    <w:rsid w:val="72707C11"/>
    <w:rsid w:val="733B7A8E"/>
    <w:rsid w:val="735C6E39"/>
    <w:rsid w:val="737A76CA"/>
    <w:rsid w:val="740279E9"/>
    <w:rsid w:val="742F7153"/>
    <w:rsid w:val="744C3441"/>
    <w:rsid w:val="752010CE"/>
    <w:rsid w:val="754430EE"/>
    <w:rsid w:val="756A41FF"/>
    <w:rsid w:val="75AD09C5"/>
    <w:rsid w:val="760778C3"/>
    <w:rsid w:val="769727FB"/>
    <w:rsid w:val="76C17B77"/>
    <w:rsid w:val="78566D0B"/>
    <w:rsid w:val="789567EA"/>
    <w:rsid w:val="78BE13F5"/>
    <w:rsid w:val="7AE21B8D"/>
    <w:rsid w:val="7B69054A"/>
    <w:rsid w:val="7C406EC3"/>
    <w:rsid w:val="7D753D57"/>
    <w:rsid w:val="7E1B5B4A"/>
    <w:rsid w:val="7E3027BA"/>
    <w:rsid w:val="7E9717B1"/>
    <w:rsid w:val="7F105956"/>
    <w:rsid w:val="7F543D43"/>
    <w:rsid w:val="7F6E7C99"/>
    <w:rsid w:val="7FF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qFormat/>
    <w:uiPriority w:val="0"/>
    <w:rPr>
      <w:rFonts w:ascii="Helvetica" w:hAnsi="Helvetica" w:eastAsia="Helvetica" w:cs="Helvetica"/>
      <w:color w:val="666666"/>
      <w:sz w:val="18"/>
      <w:szCs w:val="18"/>
      <w:u w:val="none"/>
      <w:shd w:val="clear" w:color="auto" w:fill="2469AA"/>
    </w:rPr>
  </w:style>
  <w:style w:type="character" w:styleId="12">
    <w:name w:val="Emphasis"/>
    <w:basedOn w:val="10"/>
    <w:qFormat/>
    <w:uiPriority w:val="0"/>
  </w:style>
  <w:style w:type="character" w:styleId="13">
    <w:name w:val="HTML Definition"/>
    <w:basedOn w:val="10"/>
    <w:qFormat/>
    <w:uiPriority w:val="0"/>
    <w:rPr>
      <w:sz w:val="0"/>
      <w:szCs w:val="0"/>
      <w:bdr w:val="single" w:color="auto" w:sz="48" w:space="0"/>
    </w:rPr>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666666"/>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20">
    <w:name w:val="state-being"/>
    <w:basedOn w:val="10"/>
    <w:qFormat/>
    <w:uiPriority w:val="0"/>
    <w:rPr>
      <w:color w:val="00C400"/>
    </w:rPr>
  </w:style>
  <w:style w:type="character" w:customStyle="1" w:styleId="21">
    <w:name w:val="jiaobox"/>
    <w:basedOn w:val="10"/>
    <w:qFormat/>
    <w:uiPriority w:val="0"/>
  </w:style>
  <w:style w:type="character" w:customStyle="1" w:styleId="22">
    <w:name w:val="l-btn-text"/>
    <w:basedOn w:val="10"/>
    <w:qFormat/>
    <w:uiPriority w:val="0"/>
    <w:rPr>
      <w:color w:val="0B80C4"/>
    </w:rPr>
  </w:style>
  <w:style w:type="character" w:customStyle="1" w:styleId="23">
    <w:name w:val="but_right"/>
    <w:basedOn w:val="10"/>
    <w:qFormat/>
    <w:uiPriority w:val="0"/>
  </w:style>
  <w:style w:type="character" w:customStyle="1" w:styleId="24">
    <w:name w:val="cancel-order"/>
    <w:basedOn w:val="10"/>
    <w:qFormat/>
    <w:uiPriority w:val="0"/>
  </w:style>
  <w:style w:type="character" w:customStyle="1" w:styleId="25">
    <w:name w:val="state-wait"/>
    <w:basedOn w:val="10"/>
    <w:qFormat/>
    <w:uiPriority w:val="0"/>
    <w:rPr>
      <w:color w:val="1C9CE7"/>
    </w:rPr>
  </w:style>
  <w:style w:type="character" w:customStyle="1" w:styleId="26">
    <w:name w:val="pagenum-text"/>
    <w:basedOn w:val="10"/>
    <w:qFormat/>
    <w:uiPriority w:val="0"/>
    <w:rPr>
      <w:sz w:val="18"/>
      <w:szCs w:val="18"/>
    </w:rPr>
  </w:style>
  <w:style w:type="character" w:customStyle="1" w:styleId="27">
    <w:name w:val="pwd-grade1"/>
    <w:basedOn w:val="10"/>
    <w:qFormat/>
    <w:uiPriority w:val="0"/>
    <w:rPr>
      <w:shd w:val="clear" w:color="auto" w:fill="FF3304"/>
    </w:rPr>
  </w:style>
  <w:style w:type="character" w:customStyle="1" w:styleId="28">
    <w:name w:val="pwd-grade11"/>
    <w:basedOn w:val="10"/>
    <w:qFormat/>
    <w:uiPriority w:val="0"/>
    <w:rPr>
      <w:shd w:val="clear" w:color="auto" w:fill="FF3301"/>
    </w:rPr>
  </w:style>
  <w:style w:type="character" w:customStyle="1" w:styleId="29">
    <w:name w:val="pwd-grade12"/>
    <w:basedOn w:val="10"/>
    <w:qFormat/>
    <w:uiPriority w:val="0"/>
    <w:rPr>
      <w:shd w:val="clear" w:color="auto" w:fill="FF3301"/>
    </w:rPr>
  </w:style>
  <w:style w:type="character" w:customStyle="1" w:styleId="30">
    <w:name w:val="pwd-grade2"/>
    <w:basedOn w:val="10"/>
    <w:qFormat/>
    <w:uiPriority w:val="0"/>
    <w:rPr>
      <w:shd w:val="clear" w:color="auto" w:fill="BFBFBF"/>
    </w:rPr>
  </w:style>
  <w:style w:type="character" w:customStyle="1" w:styleId="31">
    <w:name w:val="pwd-grade21"/>
    <w:basedOn w:val="10"/>
    <w:qFormat/>
    <w:uiPriority w:val="0"/>
    <w:rPr>
      <w:shd w:val="clear" w:color="auto" w:fill="0B80C4"/>
    </w:rPr>
  </w:style>
  <w:style w:type="character" w:customStyle="1" w:styleId="32">
    <w:name w:val="pwd-grade22"/>
    <w:basedOn w:val="10"/>
    <w:qFormat/>
    <w:uiPriority w:val="0"/>
    <w:rPr>
      <w:shd w:val="clear" w:color="auto" w:fill="0B80C4"/>
    </w:rPr>
  </w:style>
  <w:style w:type="character" w:customStyle="1" w:styleId="33">
    <w:name w:val="pwd-grade3"/>
    <w:basedOn w:val="10"/>
    <w:qFormat/>
    <w:uiPriority w:val="0"/>
    <w:rPr>
      <w:shd w:val="clear" w:color="auto" w:fill="BFBFBF"/>
    </w:rPr>
  </w:style>
  <w:style w:type="character" w:customStyle="1" w:styleId="34">
    <w:name w:val="pwd-grade31"/>
    <w:basedOn w:val="10"/>
    <w:qFormat/>
    <w:uiPriority w:val="0"/>
    <w:rPr>
      <w:shd w:val="clear" w:color="auto" w:fill="BFBFBF"/>
    </w:rPr>
  </w:style>
  <w:style w:type="character" w:customStyle="1" w:styleId="35">
    <w:name w:val="pwd-grade32"/>
    <w:basedOn w:val="10"/>
    <w:qFormat/>
    <w:uiPriority w:val="0"/>
    <w:rPr>
      <w:shd w:val="clear" w:color="auto" w:fill="90B71B"/>
    </w:rPr>
  </w:style>
  <w:style w:type="character" w:customStyle="1" w:styleId="36">
    <w:name w:val="prev"/>
    <w:basedOn w:val="10"/>
    <w:qFormat/>
    <w:uiPriority w:val="0"/>
    <w:rPr>
      <w:rFonts w:ascii="宋体" w:hAnsi="宋体" w:eastAsia="宋体" w:cs="宋体"/>
    </w:rPr>
  </w:style>
  <w:style w:type="character" w:customStyle="1" w:styleId="37">
    <w:name w:val="page-disabled"/>
    <w:basedOn w:val="10"/>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0"/>
    <w:qFormat/>
    <w:uiPriority w:val="0"/>
  </w:style>
  <w:style w:type="character" w:customStyle="1" w:styleId="39">
    <w:name w:val="next1"/>
    <w:basedOn w:val="10"/>
    <w:qFormat/>
    <w:uiPriority w:val="0"/>
    <w:rPr>
      <w:rFonts w:hint="eastAsia" w:ascii="宋体" w:hAnsi="宋体" w:eastAsia="宋体" w:cs="宋体"/>
    </w:rPr>
  </w:style>
  <w:style w:type="character" w:customStyle="1" w:styleId="40">
    <w:name w:val="current2"/>
    <w:basedOn w:val="10"/>
    <w:qFormat/>
    <w:uiPriority w:val="0"/>
    <w:rPr>
      <w:color w:val="FFFFFF"/>
      <w:bdr w:val="single" w:color="1C9CE7" w:sz="6" w:space="0"/>
      <w:shd w:val="clear" w:color="auto" w:fill="1C9CE7"/>
    </w:rPr>
  </w:style>
  <w:style w:type="character" w:customStyle="1" w:styleId="41">
    <w:name w:val="user"/>
    <w:basedOn w:val="10"/>
    <w:qFormat/>
    <w:uiPriority w:val="0"/>
  </w:style>
  <w:style w:type="character" w:customStyle="1" w:styleId="42">
    <w:name w:val="time2"/>
    <w:basedOn w:val="10"/>
    <w:qFormat/>
    <w:uiPriority w:val="0"/>
  </w:style>
  <w:style w:type="character" w:customStyle="1" w:styleId="43">
    <w:name w:val="state"/>
    <w:basedOn w:val="10"/>
    <w:qFormat/>
    <w:uiPriority w:val="0"/>
  </w:style>
  <w:style w:type="character" w:customStyle="1" w:styleId="44">
    <w:name w:val="time"/>
    <w:basedOn w:val="10"/>
    <w:qFormat/>
    <w:uiPriority w:val="0"/>
    <w:rPr>
      <w:color w:val="595959"/>
    </w:rPr>
  </w:style>
  <w:style w:type="character" w:customStyle="1" w:styleId="45">
    <w:name w:val="money"/>
    <w:basedOn w:val="10"/>
    <w:qFormat/>
    <w:uiPriority w:val="0"/>
  </w:style>
  <w:style w:type="character" w:customStyle="1" w:styleId="46">
    <w:name w:val="send"/>
    <w:basedOn w:val="10"/>
    <w:qFormat/>
    <w:uiPriority w:val="0"/>
  </w:style>
  <w:style w:type="character" w:customStyle="1" w:styleId="47">
    <w:name w:val="checkfield"/>
    <w:basedOn w:val="10"/>
    <w:qFormat/>
    <w:uiPriority w:val="0"/>
  </w:style>
  <w:style w:type="character" w:customStyle="1" w:styleId="48">
    <w:name w:val="send2"/>
    <w:basedOn w:val="10"/>
    <w:qFormat/>
    <w:uiPriority w:val="0"/>
  </w:style>
  <w:style w:type="character" w:customStyle="1" w:styleId="49">
    <w:name w:val="time3"/>
    <w:basedOn w:val="10"/>
    <w:qFormat/>
    <w:uiPriority w:val="0"/>
  </w:style>
  <w:style w:type="character" w:customStyle="1" w:styleId="50">
    <w:name w:val="number"/>
    <w:basedOn w:val="10"/>
    <w:qFormat/>
    <w:uiPriority w:val="0"/>
  </w:style>
  <w:style w:type="character" w:customStyle="1" w:styleId="51">
    <w:name w:val="operate"/>
    <w:basedOn w:val="10"/>
    <w:qFormat/>
    <w:uiPriority w:val="0"/>
  </w:style>
  <w:style w:type="character" w:customStyle="1" w:styleId="52">
    <w:name w:val="next"/>
    <w:basedOn w:val="10"/>
    <w:qFormat/>
    <w:uiPriority w:val="0"/>
    <w:rPr>
      <w:rFonts w:ascii="宋体" w:hAnsi="宋体" w:eastAsia="宋体" w:cs="宋体"/>
    </w:rPr>
  </w:style>
  <w:style w:type="character" w:customStyle="1" w:styleId="53">
    <w:name w:val="prev1"/>
    <w:basedOn w:val="10"/>
    <w:qFormat/>
    <w:uiPriority w:val="0"/>
    <w:rPr>
      <w:rFonts w:hint="eastAsia" w:ascii="宋体" w:hAnsi="宋体" w:eastAsia="宋体" w:cs="宋体"/>
    </w:rPr>
  </w:style>
  <w:style w:type="character" w:customStyle="1" w:styleId="54">
    <w:name w:val="current1"/>
    <w:basedOn w:val="10"/>
    <w:qFormat/>
    <w:uiPriority w:val="0"/>
    <w:rPr>
      <w:color w:val="FFFFFF"/>
      <w:bdr w:val="single" w:color="1C9CE7" w:sz="6" w:space="0"/>
      <w:shd w:val="clear" w:color="auto" w:fill="1C9CE7"/>
    </w:rPr>
  </w:style>
  <w:style w:type="character" w:customStyle="1" w:styleId="55">
    <w:name w:val="font21"/>
    <w:basedOn w:val="10"/>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0"/>
    <w:qFormat/>
    <w:uiPriority w:val="0"/>
    <w:rPr>
      <w:rFonts w:hint="eastAsia" w:ascii="微软雅黑" w:hAnsi="微软雅黑" w:eastAsia="微软雅黑" w:cs="微软雅黑"/>
      <w:color w:val="5E5E5E"/>
      <w:sz w:val="22"/>
      <w:szCs w:val="22"/>
      <w:u w:val="single"/>
    </w:rPr>
  </w:style>
  <w:style w:type="character" w:customStyle="1" w:styleId="57">
    <w:name w:val="font31"/>
    <w:basedOn w:val="10"/>
    <w:qFormat/>
    <w:uiPriority w:val="0"/>
    <w:rPr>
      <w:rFonts w:hint="eastAsia" w:ascii="微软雅黑" w:hAnsi="微软雅黑" w:eastAsia="微软雅黑" w:cs="微软雅黑"/>
      <w:color w:val="5E5E5E"/>
      <w:sz w:val="22"/>
      <w:szCs w:val="22"/>
      <w:u w:val="none"/>
    </w:rPr>
  </w:style>
  <w:style w:type="character" w:customStyle="1" w:styleId="58">
    <w:name w:val="font1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1431</Words>
  <Characters>8161</Characters>
  <Lines>68</Lines>
  <Paragraphs>19</Paragraphs>
  <TotalTime>0</TotalTime>
  <ScaleCrop>false</ScaleCrop>
  <LinksUpToDate>false</LinksUpToDate>
  <CharactersWithSpaces>9573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Administrator</cp:lastModifiedBy>
  <cp:lastPrinted>2024-03-14T00:19:00Z</cp:lastPrinted>
  <dcterms:modified xsi:type="dcterms:W3CDTF">2025-11-24T02:00:43Z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8C8BC8348D114803894ADB33C763EADF_13</vt:lpwstr>
  </property>
</Properties>
</file>