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lang w:val="en-US" w:eastAsia="zh-CN"/>
        </w:rPr>
        <w:t>皮肤科耗材一批</w:t>
      </w:r>
      <w:r>
        <w:rPr>
          <w:rFonts w:hint="eastAsia" w:ascii="方正小标宋_GBK" w:hAnsi="方正小标宋_GBK" w:eastAsia="方正小标宋_GBK" w:cs="方正小标宋_GBK"/>
          <w:sz w:val="44"/>
          <w:szCs w:val="44"/>
          <w:shd w:val="clear" w:color="auto" w:fill="FFFFFF"/>
        </w:rPr>
        <w:t>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w:t>
      </w:r>
      <w:r>
        <w:rPr>
          <w:rFonts w:hint="eastAsia" w:ascii="方正仿宋_GBK" w:hAnsi="方正仿宋_GBK" w:eastAsia="方正仿宋_GBK" w:cs="方正仿宋_GBK"/>
          <w:sz w:val="32"/>
          <w:szCs w:val="32"/>
          <w:shd w:val="clear" w:color="auto" w:fill="FFFFFF"/>
          <w:lang w:val="en-US" w:eastAsia="zh-CN"/>
        </w:rPr>
        <w:t>皮肤科</w:t>
      </w:r>
      <w:r>
        <w:rPr>
          <w:rFonts w:hint="eastAsia" w:ascii="方正仿宋_GBK" w:hAnsi="方正仿宋_GBK" w:eastAsia="方正仿宋_GBK" w:cs="方正仿宋_GBK"/>
          <w:sz w:val="32"/>
          <w:szCs w:val="32"/>
          <w:shd w:val="clear" w:color="auto" w:fill="FFFFFF"/>
        </w:rPr>
        <w:t>耗材</w:t>
      </w:r>
      <w:r>
        <w:rPr>
          <w:rFonts w:hint="eastAsia" w:ascii="方正仿宋_GBK" w:hAnsi="方正仿宋_GBK" w:eastAsia="方正仿宋_GBK" w:cs="方正仿宋_GBK"/>
          <w:sz w:val="32"/>
          <w:szCs w:val="32"/>
          <w:shd w:val="clear" w:color="auto" w:fill="FFFFFF"/>
          <w:lang w:val="en-US" w:eastAsia="zh-CN"/>
        </w:rPr>
        <w:t>一批</w:t>
      </w:r>
      <w:r>
        <w:rPr>
          <w:rFonts w:hint="eastAsia" w:ascii="方正仿宋_GBK" w:hAnsi="方正仿宋_GBK" w:eastAsia="方正仿宋_GBK" w:cs="方正仿宋_GBK"/>
          <w:sz w:val="32"/>
          <w:szCs w:val="32"/>
          <w:shd w:val="clear" w:color="auto" w:fill="FFFFFF"/>
        </w:rPr>
        <w:t>遴选〔202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15</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拟进的医用耗材试剂品目种类</w:t>
      </w:r>
    </w:p>
    <w:tbl>
      <w:tblPr>
        <w:tblStyle w:val="19"/>
        <w:tblW w:w="9306" w:type="dxa"/>
        <w:jc w:val="center"/>
        <w:tblInd w:w="0" w:type="dxa"/>
        <w:tblLayout w:type="fixed"/>
        <w:tblCellMar>
          <w:top w:w="0" w:type="dxa"/>
          <w:left w:w="0" w:type="dxa"/>
          <w:bottom w:w="0" w:type="dxa"/>
          <w:right w:w="0" w:type="dxa"/>
        </w:tblCellMar>
      </w:tblPr>
      <w:tblGrid>
        <w:gridCol w:w="906"/>
        <w:gridCol w:w="4720"/>
        <w:gridCol w:w="3680"/>
      </w:tblGrid>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4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包一</w:t>
            </w:r>
          </w:p>
        </w:tc>
        <w:tc>
          <w:tcPr>
            <w:tcW w:w="4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医用愈肤生物膜膏剂敷料</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r>
        <w:tblPrEx>
          <w:tblLayout w:type="fixed"/>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包二</w:t>
            </w:r>
          </w:p>
        </w:tc>
        <w:tc>
          <w:tcPr>
            <w:tcW w:w="47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医用愈肤生物膜水剂敷料</w:t>
            </w:r>
          </w:p>
        </w:tc>
        <w:tc>
          <w:tcPr>
            <w:tcW w:w="3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遴选文件获取方式：本项目遴选文件在重庆市铜梁区人民医院官网（www.tlxrmyy.net）上免费下载。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报名及递交文件时间：即日起至202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年</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b/>
          <w:bCs/>
          <w:color w:val="auto"/>
          <w:kern w:val="0"/>
          <w:sz w:val="32"/>
          <w:szCs w:val="32"/>
          <w:shd w:val="clear" w:color="auto" w:fill="FFFFFF"/>
          <w:lang w:bidi="ar"/>
        </w:rPr>
        <w:t>月</w:t>
      </w:r>
      <w:r>
        <w:rPr>
          <w:rFonts w:hint="eastAsia" w:ascii="方正仿宋_GBK" w:hAnsi="方正仿宋_GBK" w:eastAsia="方正仿宋_GBK" w:cs="方正仿宋_GBK"/>
          <w:b/>
          <w:bCs/>
          <w:color w:val="auto"/>
          <w:kern w:val="0"/>
          <w:sz w:val="32"/>
          <w:szCs w:val="32"/>
          <w:shd w:val="clear" w:color="auto" w:fill="FFFFFF"/>
          <w:lang w:val="en-US" w:eastAsia="zh-CN" w:bidi="ar"/>
        </w:rPr>
        <w:t>2</w:t>
      </w:r>
      <w:r>
        <w:rPr>
          <w:rFonts w:hint="eastAsia" w:ascii="方正仿宋_GBK" w:hAnsi="方正仿宋_GBK" w:eastAsia="方正仿宋_GBK" w:cs="方正仿宋_GBK"/>
          <w:color w:val="auto"/>
          <w:kern w:val="0"/>
          <w:sz w:val="32"/>
          <w:szCs w:val="32"/>
          <w:shd w:val="clear" w:color="auto" w:fill="FFFFFF"/>
          <w:lang w:bidi="ar"/>
        </w:rPr>
        <w:t>日</w:t>
      </w:r>
      <w:r>
        <w:rPr>
          <w:rFonts w:hint="eastAsia" w:ascii="方正仿宋_GBK" w:hAnsi="方正仿宋_GBK" w:eastAsia="方正仿宋_GBK" w:cs="方正仿宋_GBK"/>
          <w:kern w:val="0"/>
          <w:sz w:val="32"/>
          <w:szCs w:val="32"/>
          <w:shd w:val="clear" w:color="auto" w:fill="FFFFFF"/>
          <w:lang w:val="en-US" w:eastAsia="zh-CN" w:bidi="ar"/>
        </w:rPr>
        <w:t>17</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3</w:t>
      </w:r>
      <w:r>
        <w:rPr>
          <w:rFonts w:hint="eastAsia" w:ascii="方正仿宋_GBK" w:hAnsi="方正仿宋_GBK" w:eastAsia="方正仿宋_GBK" w:cs="方正仿宋_GBK"/>
          <w:kern w:val="0"/>
          <w:sz w:val="32"/>
          <w:szCs w:val="32"/>
          <w:shd w:val="clear" w:color="auto" w:fill="FFFFFF"/>
          <w:lang w:bidi="ar"/>
        </w:rPr>
        <w:t>0分（工作时间内），逾期不予受理。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32914777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bookmarkStart w:id="0"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3"/>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邱</w:t>
      </w:r>
      <w:r>
        <w:rPr>
          <w:rFonts w:hint="eastAsia" w:ascii="方正仿宋_GBK" w:hAnsi="方正仿宋_GBK" w:eastAsia="方正仿宋_GBK" w:cs="方正仿宋_GBK"/>
          <w:b w:val="0"/>
          <w:bCs w:val="0"/>
          <w:kern w:val="0"/>
          <w:sz w:val="32"/>
          <w:shd w:val="clear" w:color="auto" w:fill="FFFFFF"/>
          <w:lang w:bidi="ar"/>
        </w:rPr>
        <w:t>老师</w:t>
      </w:r>
    </w:p>
    <w:p>
      <w:pPr>
        <w:pStyle w:val="3"/>
        <w:ind w:firstLine="640" w:firstLineChars="200"/>
        <w:rPr>
          <w:rFonts w:hint="eastAsia"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联系方式: 023-45656</w:t>
      </w:r>
      <w:bookmarkEnd w:id="0"/>
      <w:r>
        <w:rPr>
          <w:rFonts w:hint="eastAsia" w:ascii="方正仿宋_GBK" w:hAnsi="方正仿宋_GBK" w:eastAsia="方正仿宋_GBK" w:cs="方正仿宋_GBK"/>
          <w:b w:val="0"/>
          <w:bCs w:val="0"/>
          <w:kern w:val="0"/>
          <w:sz w:val="32"/>
          <w:shd w:val="clear" w:color="auto" w:fill="FFFFFF"/>
          <w:lang w:val="en-US" w:eastAsia="zh-CN" w:bidi="ar"/>
        </w:rPr>
        <w:t>313</w:t>
      </w:r>
      <w:r>
        <w:rPr>
          <w:rFonts w:hint="eastAsia" w:ascii="方正仿宋_GBK" w:hAnsi="方正仿宋_GBK" w:eastAsia="方正仿宋_GBK" w:cs="方正仿宋_GBK"/>
          <w:b w:val="0"/>
          <w:bCs w:val="0"/>
          <w:kern w:val="0"/>
          <w:sz w:val="32"/>
          <w:shd w:val="clear" w:color="auto" w:fill="FFFFFF"/>
          <w:lang w:bidi="ar"/>
        </w:rPr>
        <w:t xml:space="preserve"> </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bookmarkStart w:id="1" w:name="OLE_LINK5"/>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杨亚辉主任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bookmarkStart w:id="2" w:name="OLE_LINK6"/>
      <w:bookmarkStart w:id="3" w:name="OLE_LINK7"/>
      <w:r>
        <w:rPr>
          <w:rFonts w:hint="eastAsia" w:ascii="方正仿宋_GBK" w:hAnsi="方正仿宋_GBK" w:eastAsia="方正仿宋_GBK" w:cs="方正仿宋_GBK"/>
          <w:b w:val="0"/>
          <w:bCs w:val="0"/>
          <w:kern w:val="0"/>
          <w:sz w:val="32"/>
          <w:shd w:val="clear" w:color="auto" w:fill="FFFFFF"/>
          <w:lang w:val="en-US" w:eastAsia="zh-CN" w:bidi="ar"/>
        </w:rPr>
        <w:t>1</w:t>
      </w:r>
      <w:bookmarkEnd w:id="2"/>
      <w:bookmarkEnd w:id="3"/>
      <w:r>
        <w:rPr>
          <w:rFonts w:hint="eastAsia" w:ascii="方正仿宋_GBK" w:hAnsi="方正仿宋_GBK" w:eastAsia="方正仿宋_GBK" w:cs="方正仿宋_GBK"/>
          <w:b w:val="0"/>
          <w:bCs w:val="0"/>
          <w:kern w:val="0"/>
          <w:sz w:val="32"/>
          <w:shd w:val="clear" w:color="auto" w:fill="FFFFFF"/>
          <w:lang w:val="en-US" w:eastAsia="zh-CN" w:bidi="ar"/>
        </w:rPr>
        <w:t>5802370297</w:t>
      </w:r>
    </w:p>
    <w:bookmarkEnd w:id="1"/>
    <w:p>
      <w:pPr>
        <w:pStyle w:val="3"/>
        <w:ind w:firstLine="643" w:firstLineChars="200"/>
        <w:rPr>
          <w:rFonts w:ascii="方正仿宋_GBK" w:hAnsi="方正仿宋_GBK" w:eastAsia="方正仿宋_GBK" w:cs="方正仿宋_GBK"/>
          <w:kern w:val="0"/>
          <w:sz w:val="32"/>
          <w:shd w:val="clear" w:color="auto" w:fill="FFFFFF"/>
          <w:lang w:bidi="ar"/>
        </w:rPr>
      </w:pPr>
      <w:bookmarkStart w:id="4" w:name="_Toc7917"/>
      <w:r>
        <w:rPr>
          <w:rFonts w:hint="eastAsia" w:ascii="方正仿宋_GBK" w:hAnsi="方正仿宋_GBK" w:eastAsia="方正仿宋_GBK" w:cs="方正仿宋_GBK"/>
          <w:kern w:val="0"/>
          <w:sz w:val="32"/>
          <w:shd w:val="clear" w:color="auto" w:fill="FFFFFF"/>
          <w:lang w:bidi="ar"/>
        </w:rPr>
        <w:t>五、监督管理</w:t>
      </w:r>
      <w:bookmarkEnd w:id="4"/>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3"/>
        <w:ind w:firstLine="643" w:firstLineChars="200"/>
        <w:rPr>
          <w:rFonts w:ascii="方正仿宋_GBK" w:hAnsi="方正仿宋_GBK" w:eastAsia="方正仿宋_GBK" w:cs="方正仿宋_GBK"/>
          <w:kern w:val="0"/>
          <w:sz w:val="32"/>
          <w:shd w:val="clear" w:color="auto" w:fill="FFFFFF"/>
          <w:lang w:bidi="ar"/>
        </w:rPr>
      </w:pPr>
      <w:bookmarkStart w:id="5" w:name="_Toc6913"/>
      <w:r>
        <w:rPr>
          <w:rFonts w:hint="eastAsia" w:ascii="方正仿宋_GBK" w:hAnsi="方正仿宋_GBK" w:eastAsia="方正仿宋_GBK" w:cs="方正仿宋_GBK"/>
          <w:kern w:val="0"/>
          <w:sz w:val="32"/>
          <w:shd w:val="clear" w:color="auto" w:fill="FFFFFF"/>
          <w:lang w:bidi="ar"/>
        </w:rPr>
        <w:t>六、解释权</w:t>
      </w:r>
      <w:bookmarkEnd w:id="5"/>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6" w:name="_Toc4049"/>
      <w:bookmarkStart w:id="7" w:name="_Toc30412"/>
      <w:bookmarkStart w:id="8" w:name="_Toc23878"/>
      <w:r>
        <w:rPr>
          <w:rFonts w:hint="eastAsia" w:ascii="仿宋" w:hAnsi="仿宋" w:eastAsia="仿宋" w:cs="华文中宋"/>
          <w:b/>
          <w:sz w:val="84"/>
          <w:szCs w:val="84"/>
        </w:rPr>
        <w:t>重庆市铜梁区人民医院</w:t>
      </w:r>
      <w:bookmarkEnd w:id="6"/>
      <w:bookmarkEnd w:id="7"/>
      <w:bookmarkEnd w:id="8"/>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rPr>
          <w:rFonts w:hint="eastAsia" w:ascii="仿宋" w:hAnsi="仿宋" w:eastAsia="仿宋" w:cs="华文中宋"/>
          <w:b/>
          <w:sz w:val="44"/>
          <w:szCs w:val="44"/>
          <w:lang w:eastAsia="zh-CN"/>
        </w:rPr>
      </w:pPr>
      <w:r>
        <w:rPr>
          <w:rFonts w:hint="eastAsia" w:ascii="仿宋" w:hAnsi="仿宋" w:eastAsia="仿宋" w:cs="华文中宋"/>
          <w:b/>
          <w:sz w:val="44"/>
          <w:szCs w:val="44"/>
        </w:rPr>
        <w:t>遴选项目：</w:t>
      </w:r>
      <w:r>
        <w:rPr>
          <w:rFonts w:hint="eastAsia" w:ascii="仿宋" w:hAnsi="仿宋" w:eastAsia="仿宋" w:cs="华文中宋"/>
          <w:b/>
          <w:sz w:val="44"/>
          <w:szCs w:val="44"/>
          <w:lang w:val="en-US" w:eastAsia="zh-CN"/>
        </w:rPr>
        <w:t>皮肤科耗材一批</w:t>
      </w:r>
    </w:p>
    <w:p>
      <w:pPr>
        <w:adjustRightInd w:val="0"/>
        <w:snapToGrid w:val="0"/>
        <w:spacing w:line="360" w:lineRule="auto"/>
        <w:ind w:firstLine="663" w:firstLineChars="150"/>
        <w:outlineLvl w:val="0"/>
        <w:rPr>
          <w:rFonts w:ascii="仿宋" w:hAnsi="仿宋" w:eastAsia="仿宋" w:cs="华文中宋"/>
          <w:b/>
          <w:sz w:val="44"/>
          <w:szCs w:val="44"/>
        </w:rPr>
      </w:pPr>
      <w:bookmarkStart w:id="9" w:name="_Toc24405"/>
      <w:bookmarkStart w:id="10" w:name="_Toc25426"/>
      <w:bookmarkStart w:id="11" w:name="_Toc19948"/>
      <w:r>
        <w:rPr>
          <w:rFonts w:hint="eastAsia" w:ascii="仿宋" w:hAnsi="仿宋" w:eastAsia="仿宋" w:cs="华文中宋"/>
          <w:b/>
          <w:sz w:val="44"/>
          <w:szCs w:val="44"/>
        </w:rPr>
        <w:t>项目编号：</w:t>
      </w:r>
      <w:bookmarkEnd w:id="9"/>
      <w:bookmarkEnd w:id="10"/>
      <w:bookmarkEnd w:id="11"/>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15</w:t>
      </w:r>
      <w:r>
        <w:rPr>
          <w:rFonts w:hint="eastAsia" w:ascii="仿宋" w:hAnsi="仿宋" w:eastAsia="仿宋" w:cs="华文中宋"/>
          <w:b/>
          <w:color w:val="auto"/>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12" w:name="_Toc21379"/>
      <w:bookmarkStart w:id="13" w:name="_Toc1078"/>
      <w:bookmarkStart w:id="14" w:name="_Toc178"/>
      <w:r>
        <w:rPr>
          <w:rFonts w:hint="eastAsia" w:ascii="仿宋" w:hAnsi="仿宋" w:eastAsia="仿宋" w:cs="华文中宋"/>
          <w:b/>
          <w:sz w:val="44"/>
          <w:szCs w:val="44"/>
        </w:rPr>
        <w:t>遴 选 人：重庆市铜梁区人民医院</w:t>
      </w:r>
      <w:bookmarkEnd w:id="12"/>
      <w:bookmarkEnd w:id="13"/>
      <w:bookmarkEnd w:id="14"/>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5" w:name="_Toc31576"/>
      <w:bookmarkStart w:id="16" w:name="_Toc23577"/>
      <w:bookmarkStart w:id="17" w:name="_Toc30537"/>
      <w:r>
        <w:rPr>
          <w:rFonts w:hint="eastAsia" w:ascii="仿宋" w:hAnsi="仿宋" w:eastAsia="仿宋" w:cs="华文中宋"/>
          <w:b/>
          <w:sz w:val="28"/>
          <w:szCs w:val="28"/>
        </w:rPr>
        <w:t>重庆市铜梁区人民医院制</w:t>
      </w:r>
      <w:bookmarkEnd w:id="15"/>
      <w:bookmarkEnd w:id="16"/>
      <w:bookmarkEnd w:id="17"/>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8" w:name="_Toc967"/>
      <w:bookmarkStart w:id="19" w:name="_Toc27085"/>
      <w:bookmarkStart w:id="20" w:name="_Toc11779"/>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八</w:t>
      </w:r>
      <w:r>
        <w:rPr>
          <w:rFonts w:hint="eastAsia" w:ascii="仿宋" w:hAnsi="仿宋" w:eastAsia="仿宋" w:cs="华文中宋"/>
          <w:b/>
          <w:sz w:val="36"/>
          <w:szCs w:val="36"/>
        </w:rPr>
        <w:t>月</w:t>
      </w:r>
      <w:bookmarkEnd w:id="18"/>
      <w:bookmarkEnd w:id="19"/>
      <w:bookmarkEnd w:id="20"/>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5个工作日</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或护理部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二、本次拟新进的医用耗材试剂品目种类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kern w:val="2"/>
          <w:sz w:val="32"/>
          <w:szCs w:val="32"/>
          <w:shd w:val="clear" w:color="auto" w:fill="FFFFFF"/>
        </w:rPr>
        <w:t>并在重庆市药交所医药交易平台签订《医药交易平台电子交易合同》，合同每年一签，按需线上采购。</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pStyle w:val="9"/>
        <w:widowControl/>
        <w:spacing w:beforeAutospacing="0" w:afterAutospacing="0" w:line="594" w:lineRule="exact"/>
        <w:ind w:firstLine="640" w:firstLineChars="200"/>
        <w:jc w:val="both"/>
        <w:outlineLvl w:val="0"/>
        <w:rPr>
          <w:rFonts w:hint="eastAsia"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（二）拟进的品目种类</w:t>
      </w:r>
    </w:p>
    <w:tbl>
      <w:tblPr>
        <w:tblStyle w:val="19"/>
        <w:tblpPr w:leftFromText="180" w:rightFromText="180" w:vertAnchor="text" w:horzAnchor="page" w:tblpX="1047" w:tblpY="234"/>
        <w:tblOverlap w:val="never"/>
        <w:tblW w:w="9780" w:type="dxa"/>
        <w:tblInd w:w="0" w:type="dxa"/>
        <w:shd w:val="clear" w:color="auto" w:fill="auto"/>
        <w:tblLayout w:type="fixed"/>
        <w:tblCellMar>
          <w:top w:w="0" w:type="dxa"/>
          <w:left w:w="0" w:type="dxa"/>
          <w:bottom w:w="0" w:type="dxa"/>
          <w:right w:w="0" w:type="dxa"/>
        </w:tblCellMar>
      </w:tblPr>
      <w:tblGrid>
        <w:gridCol w:w="1687"/>
        <w:gridCol w:w="930"/>
        <w:gridCol w:w="960"/>
        <w:gridCol w:w="540"/>
        <w:gridCol w:w="885"/>
        <w:gridCol w:w="705"/>
        <w:gridCol w:w="3067"/>
        <w:gridCol w:w="1006"/>
      </w:tblGrid>
      <w:tr>
        <w:tblPrEx>
          <w:shd w:val="clear" w:color="auto" w:fill="auto"/>
          <w:tblLayout w:type="fixed"/>
          <w:tblCellMar>
            <w:top w:w="0" w:type="dxa"/>
            <w:left w:w="0" w:type="dxa"/>
            <w:bottom w:w="0" w:type="dxa"/>
            <w:right w:w="0" w:type="dxa"/>
          </w:tblCellMar>
        </w:tblPrEx>
        <w:trPr>
          <w:trHeight w:val="540" w:hRule="atLeast"/>
        </w:trPr>
        <w:tc>
          <w:tcPr>
            <w:tcW w:w="16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遴选</w:t>
            </w:r>
            <w:r>
              <w:rPr>
                <w:rFonts w:hint="eastAsia" w:asciiTheme="minorEastAsia" w:hAnsiTheme="minorEastAsia" w:cstheme="minorEastAsia"/>
                <w:i w:val="0"/>
                <w:color w:val="000000"/>
                <w:kern w:val="0"/>
                <w:sz w:val="20"/>
                <w:szCs w:val="20"/>
                <w:u w:val="none"/>
                <w:lang w:val="en-US" w:eastAsia="zh-CN" w:bidi="ar"/>
              </w:rPr>
              <w:t>耗材</w:t>
            </w:r>
            <w:r>
              <w:rPr>
                <w:rFonts w:hint="eastAsia" w:asciiTheme="minorEastAsia" w:hAnsiTheme="minorEastAsia" w:eastAsiaTheme="minorEastAsia" w:cstheme="minorEastAsia"/>
                <w:i w:val="0"/>
                <w:color w:val="000000"/>
                <w:kern w:val="0"/>
                <w:sz w:val="20"/>
                <w:szCs w:val="20"/>
                <w:u w:val="none"/>
                <w:lang w:val="en-US" w:eastAsia="zh-CN" w:bidi="ar"/>
              </w:rPr>
              <w:t>名称</w:t>
            </w:r>
          </w:p>
        </w:tc>
        <w:tc>
          <w:tcPr>
            <w:tcW w:w="9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品牌</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医院目前在用</w:t>
            </w:r>
            <w:r>
              <w:rPr>
                <w:rFonts w:hint="eastAsia" w:asciiTheme="minorEastAsia" w:hAnsiTheme="minorEastAsia" w:cstheme="minorEastAsia"/>
                <w:i w:val="0"/>
                <w:color w:val="000000"/>
                <w:kern w:val="0"/>
                <w:sz w:val="20"/>
                <w:szCs w:val="20"/>
                <w:u w:val="none"/>
                <w:lang w:val="en-US" w:eastAsia="zh-CN" w:bidi="ar"/>
              </w:rPr>
              <w:t>规格型号</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单价限价（元）</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预估年用量</w:t>
            </w:r>
            <w:bookmarkStart w:id="21" w:name="_GoBack"/>
            <w:bookmarkEnd w:id="21"/>
          </w:p>
        </w:tc>
        <w:tc>
          <w:tcPr>
            <w:tcW w:w="30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适用范围</w:t>
            </w:r>
          </w:p>
        </w:tc>
        <w:tc>
          <w:tcPr>
            <w:tcW w:w="10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0"/>
                <w:szCs w:val="20"/>
                <w:u w:val="none"/>
              </w:rPr>
            </w:pPr>
            <w:r>
              <w:rPr>
                <w:rFonts w:hint="eastAsia" w:asciiTheme="minorEastAsia" w:hAnsiTheme="minorEastAsia" w:eastAsiaTheme="minorEastAsia" w:cstheme="minorEastAsia"/>
                <w:i w:val="0"/>
                <w:color w:val="000000"/>
                <w:kern w:val="0"/>
                <w:sz w:val="20"/>
                <w:szCs w:val="20"/>
                <w:u w:val="none"/>
                <w:lang w:val="en-US" w:eastAsia="zh-CN" w:bidi="ar"/>
              </w:rPr>
              <w:t>适用科室</w:t>
            </w:r>
          </w:p>
        </w:tc>
      </w:tr>
      <w:tr>
        <w:tblPrEx>
          <w:shd w:val="clear" w:color="auto" w:fill="auto"/>
          <w:tblLayout w:type="fixed"/>
          <w:tblCellMar>
            <w:top w:w="0" w:type="dxa"/>
            <w:left w:w="0" w:type="dxa"/>
            <w:bottom w:w="0" w:type="dxa"/>
            <w:right w:w="0" w:type="dxa"/>
          </w:tblCellMar>
        </w:tblPrEx>
        <w:trPr>
          <w:trHeight w:val="908" w:hRule="atLeast"/>
        </w:trPr>
        <w:tc>
          <w:tcPr>
            <w:tcW w:w="1687"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医用愈肤生物膜膏剂敷料</w:t>
            </w:r>
          </w:p>
        </w:tc>
        <w:tc>
          <w:tcPr>
            <w:tcW w:w="930" w:type="dxa"/>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蓝科兴医疗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40g</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128</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500</w:t>
            </w:r>
          </w:p>
        </w:tc>
        <w:tc>
          <w:tcPr>
            <w:tcW w:w="306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通过在体表皮肤患处形成一层保护膜，与外界细菌物理隔离，从而阻止病原微生物定植。减轻不良炎性反应。起到阻菌，保护创面的作用</w:t>
            </w:r>
          </w:p>
        </w:tc>
        <w:tc>
          <w:tcPr>
            <w:tcW w:w="100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皮肤科</w:t>
            </w:r>
          </w:p>
        </w:tc>
      </w:tr>
      <w:tr>
        <w:tblPrEx>
          <w:shd w:val="clear" w:color="auto" w:fill="auto"/>
          <w:tblLayout w:type="fixed"/>
          <w:tblCellMar>
            <w:top w:w="0" w:type="dxa"/>
            <w:left w:w="0" w:type="dxa"/>
            <w:bottom w:w="0" w:type="dxa"/>
            <w:right w:w="0" w:type="dxa"/>
          </w:tblCellMar>
        </w:tblPrEx>
        <w:trPr>
          <w:trHeight w:val="908" w:hRule="atLeast"/>
        </w:trPr>
        <w:tc>
          <w:tcPr>
            <w:tcW w:w="1687"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医用愈肤生物膜水剂敷料</w:t>
            </w:r>
          </w:p>
        </w:tc>
        <w:tc>
          <w:tcPr>
            <w:tcW w:w="9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蓝科兴医疗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CY-I型（50ml）</w:t>
            </w:r>
          </w:p>
        </w:tc>
        <w:tc>
          <w:tcPr>
            <w:tcW w:w="5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盒</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95</w:t>
            </w:r>
          </w:p>
        </w:tc>
        <w:tc>
          <w:tcPr>
            <w:tcW w:w="7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500</w:t>
            </w:r>
          </w:p>
        </w:tc>
        <w:tc>
          <w:tcPr>
            <w:tcW w:w="306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p>
        </w:tc>
        <w:tc>
          <w:tcPr>
            <w:tcW w:w="100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eastAsia" w:ascii="方正仿宋_GBK" w:hAnsi="方正仿宋_GBK" w:eastAsia="方正仿宋_GBK" w:cs="方正仿宋_GBK"/>
                <w:kern w:val="0"/>
                <w:sz w:val="24"/>
                <w:shd w:val="clear" w:color="auto" w:fill="FFFFFF"/>
                <w:lang w:val="en-US" w:eastAsia="zh-CN" w:bidi="ar"/>
              </w:rPr>
            </w:pP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bidi="ar"/>
        </w:rPr>
        <w:t>备注：</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1.参与人推介的耗材试剂产品，均须是在重庆市药交所交易的产品，遴选参与人应提供产品在重庆药交所产品挂网的截屏资料，后续采购必须从药交所线上采购。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5</w:t>
      </w:r>
      <w:r>
        <w:rPr>
          <w:rFonts w:hint="eastAsia" w:ascii="宋体" w:hAnsi="宋体" w:eastAsia="宋体" w:cs="宋体"/>
          <w:color w:val="000000"/>
          <w:kern w:val="0"/>
          <w:sz w:val="28"/>
          <w:szCs w:val="28"/>
          <w:lang w:bidi="ar"/>
        </w:rPr>
        <w:t>.参与人报名时提供参与包的所有型号样品不低于</w:t>
      </w:r>
      <w:r>
        <w:rPr>
          <w:rFonts w:hint="eastAsia" w:ascii="宋体" w:hAnsi="宋体" w:eastAsia="宋体" w:cs="宋体"/>
          <w:color w:val="000000"/>
          <w:kern w:val="0"/>
          <w:sz w:val="28"/>
          <w:szCs w:val="28"/>
          <w:lang w:val="en-US" w:eastAsia="zh-CN" w:bidi="ar"/>
        </w:rPr>
        <w:t>2套</w:t>
      </w:r>
      <w:r>
        <w:rPr>
          <w:rFonts w:hint="eastAsia" w:ascii="宋体" w:hAnsi="宋体" w:eastAsia="宋体" w:cs="宋体"/>
          <w:color w:val="000000"/>
          <w:kern w:val="0"/>
          <w:sz w:val="28"/>
          <w:szCs w:val="28"/>
          <w:lang w:bidi="ar"/>
        </w:rPr>
        <w:t>样品，供医院测试核验是否符合本院的医疗质量与安全基本要求（样品测试核验后医院不予退回）。</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eastAsia="zh-CN" w:bidi="ar"/>
        </w:rPr>
      </w:pPr>
      <w:r>
        <w:rPr>
          <w:rFonts w:hint="eastAsia" w:ascii="宋体" w:hAnsi="宋体" w:eastAsia="宋体" w:cs="宋体"/>
          <w:b/>
          <w:bCs/>
          <w:color w:val="000000"/>
          <w:kern w:val="0"/>
          <w:sz w:val="28"/>
          <w:szCs w:val="28"/>
          <w:lang w:val="en-US" w:eastAsia="zh-CN" w:bidi="ar"/>
        </w:rPr>
        <w:t>6.</w:t>
      </w:r>
      <w:r>
        <w:rPr>
          <w:rFonts w:hint="eastAsia" w:ascii="宋体" w:hAnsi="宋体" w:eastAsia="宋体" w:cs="宋体"/>
          <w:b/>
          <w:bCs/>
          <w:color w:val="000000"/>
          <w:kern w:val="0"/>
          <w:sz w:val="28"/>
          <w:szCs w:val="28"/>
          <w:lang w:bidi="ar"/>
        </w:rPr>
        <w:t>上述</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型号是我院在用</w:t>
      </w:r>
      <w:r>
        <w:rPr>
          <w:rFonts w:hint="eastAsia" w:ascii="宋体" w:hAnsi="宋体" w:eastAsia="宋体" w:cs="宋体"/>
          <w:b/>
          <w:bCs/>
          <w:color w:val="000000"/>
          <w:kern w:val="0"/>
          <w:sz w:val="28"/>
          <w:szCs w:val="28"/>
          <w:lang w:eastAsia="zh-CN" w:bidi="ar"/>
        </w:rPr>
        <w:t>生产厂家</w:t>
      </w:r>
      <w:r>
        <w:rPr>
          <w:rFonts w:hint="eastAsia" w:ascii="宋体" w:hAnsi="宋体" w:eastAsia="宋体" w:cs="宋体"/>
          <w:b/>
          <w:bCs/>
          <w:color w:val="000000"/>
          <w:kern w:val="0"/>
          <w:sz w:val="28"/>
          <w:szCs w:val="28"/>
          <w:lang w:bidi="ar"/>
        </w:rPr>
        <w:t>型号，参与人推介产品</w:t>
      </w:r>
      <w:r>
        <w:rPr>
          <w:rFonts w:hint="eastAsia" w:ascii="宋体" w:hAnsi="宋体" w:eastAsia="宋体" w:cs="宋体"/>
          <w:b/>
          <w:bCs/>
          <w:color w:val="000000"/>
          <w:kern w:val="0"/>
          <w:sz w:val="28"/>
          <w:szCs w:val="28"/>
          <w:lang w:eastAsia="zh-CN" w:bidi="ar"/>
        </w:rPr>
        <w:t>的生产厂家</w:t>
      </w:r>
      <w:r>
        <w:rPr>
          <w:rFonts w:hint="eastAsia" w:ascii="宋体" w:hAnsi="宋体" w:eastAsia="宋体" w:cs="宋体"/>
          <w:b/>
          <w:bCs/>
          <w:color w:val="000000"/>
          <w:kern w:val="0"/>
          <w:sz w:val="28"/>
          <w:szCs w:val="28"/>
          <w:lang w:bidi="ar"/>
        </w:rPr>
        <w:t>及型号可与上表中不一致，但作用、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范围、功能必须与该</w:t>
      </w:r>
      <w:r>
        <w:rPr>
          <w:rFonts w:hint="eastAsia" w:ascii="宋体" w:hAnsi="宋体" w:eastAsia="宋体" w:cs="宋体"/>
          <w:b/>
          <w:bCs/>
          <w:color w:val="000000"/>
          <w:kern w:val="0"/>
          <w:sz w:val="28"/>
          <w:szCs w:val="28"/>
          <w:lang w:eastAsia="zh-CN" w:bidi="ar"/>
        </w:rPr>
        <w:t>生产厂家及</w:t>
      </w:r>
      <w:r>
        <w:rPr>
          <w:rFonts w:hint="eastAsia" w:ascii="宋体" w:hAnsi="宋体" w:eastAsia="宋体" w:cs="宋体"/>
          <w:b/>
          <w:bCs/>
          <w:color w:val="000000"/>
          <w:kern w:val="0"/>
          <w:sz w:val="28"/>
          <w:szCs w:val="28"/>
          <w:lang w:bidi="ar"/>
        </w:rPr>
        <w:t>型号的产品作用、</w:t>
      </w:r>
      <w:r>
        <w:rPr>
          <w:rFonts w:hint="eastAsia" w:ascii="宋体" w:hAnsi="宋体" w:eastAsia="宋体" w:cs="宋体"/>
          <w:b/>
          <w:bCs/>
          <w:color w:val="000000"/>
          <w:kern w:val="0"/>
          <w:sz w:val="28"/>
          <w:szCs w:val="28"/>
          <w:lang w:eastAsia="zh-CN" w:bidi="ar"/>
        </w:rPr>
        <w:t>适用</w:t>
      </w:r>
      <w:r>
        <w:rPr>
          <w:rFonts w:hint="eastAsia" w:ascii="宋体" w:hAnsi="宋体" w:eastAsia="宋体" w:cs="宋体"/>
          <w:b/>
          <w:bCs/>
          <w:color w:val="000000"/>
          <w:kern w:val="0"/>
          <w:sz w:val="28"/>
          <w:szCs w:val="28"/>
          <w:lang w:bidi="ar"/>
        </w:rPr>
        <w:t>范围、功能一致</w:t>
      </w:r>
      <w:r>
        <w:rPr>
          <w:rFonts w:hint="eastAsia" w:ascii="宋体" w:hAnsi="宋体" w:eastAsia="宋体" w:cs="宋体"/>
          <w:b/>
          <w:bCs/>
          <w:color w:val="000000"/>
          <w:kern w:val="0"/>
          <w:sz w:val="28"/>
          <w:szCs w:val="28"/>
          <w:lang w:eastAsia="zh-CN" w:bidi="ar"/>
        </w:rPr>
        <w:t>。</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docGrid w:type="lines" w:linePitch="319"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9"/>
        <w:tblW w:w="8765" w:type="dxa"/>
        <w:tblInd w:w="0" w:type="dxa"/>
        <w:tblLayout w:type="fixed"/>
        <w:tblCellMar>
          <w:top w:w="0" w:type="dxa"/>
          <w:left w:w="0" w:type="dxa"/>
          <w:bottom w:w="0" w:type="dxa"/>
          <w:right w:w="0" w:type="dxa"/>
        </w:tblCellMar>
      </w:tblPr>
      <w:tblGrid>
        <w:gridCol w:w="2385"/>
        <w:gridCol w:w="6380"/>
      </w:tblGrid>
      <w:tr>
        <w:tblPrEx>
          <w:tblLayout w:type="fixed"/>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Layout w:type="fixed"/>
        </w:tblPrEx>
        <w:trPr>
          <w:trHeight w:val="940" w:hRule="atLeast"/>
        </w:trPr>
        <w:tc>
          <w:tcPr>
            <w:tcW w:w="8765" w:type="dxa"/>
            <w:gridSpan w:val="2"/>
            <w:tcBorders>
              <w:top w:val="nil"/>
              <w:left w:val="nil"/>
              <w:bottom w:val="nil"/>
              <w:right w:val="nil"/>
            </w:tcBorders>
            <w:shd w:val="clear" w:color="auto" w:fill="auto"/>
            <w:noWrap/>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Layout w:type="fixed"/>
          <w:tblCellMar>
            <w:top w:w="0" w:type="dxa"/>
            <w:left w:w="0" w:type="dxa"/>
            <w:bottom w:w="0" w:type="dxa"/>
            <w:right w:w="0" w:type="dxa"/>
          </w:tblCellMar>
        </w:tblPrEx>
        <w:trPr>
          <w:trHeight w:val="800" w:hRule="atLeast"/>
        </w:trPr>
        <w:tc>
          <w:tcPr>
            <w:tcW w:w="238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38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15</w:t>
            </w:r>
            <w:r>
              <w:rPr>
                <w:rFonts w:hint="eastAsia" w:ascii="方正仿宋_GBK" w:hAnsi="方正仿宋_GBK" w:eastAsia="方正仿宋_GBK" w:cs="方正仿宋_GBK"/>
                <w:kern w:val="0"/>
                <w:sz w:val="32"/>
                <w:szCs w:val="32"/>
                <w:shd w:val="clear" w:color="auto" w:fill="FFFFFF"/>
                <w:lang w:bidi="ar"/>
              </w:rPr>
              <w:t>号</w:t>
            </w: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38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Layout w:type="fixed"/>
          <w:tblCellMar>
            <w:top w:w="0" w:type="dxa"/>
            <w:left w:w="0" w:type="dxa"/>
            <w:bottom w:w="0" w:type="dxa"/>
            <w:right w:w="0" w:type="dxa"/>
          </w:tblCellMar>
        </w:tblPrEx>
        <w:trPr>
          <w:trHeight w:val="800" w:hRule="atLeast"/>
        </w:trPr>
        <w:tc>
          <w:tcPr>
            <w:tcW w:w="2385"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380" w:type="dxa"/>
            <w:tcBorders>
              <w:top w:val="nil"/>
              <w:left w:val="nil"/>
              <w:bottom w:val="single" w:color="000000" w:sz="8" w:space="0"/>
              <w:right w:val="single" w:color="000000" w:sz="8" w:space="0"/>
            </w:tcBorders>
            <w:shd w:val="clear" w:color="auto" w:fill="auto"/>
            <w:noWrap/>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医疗器械生产许可证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800" w:right="1440" w:bottom="1800" w:left="1440"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（四）遴选参与人应提供如下《唯一配送权承诺书》；同时加盖遴选参与人公章。</w:t>
      </w:r>
    </w:p>
    <w:tbl>
      <w:tblPr>
        <w:tblStyle w:val="19"/>
        <w:tblpPr w:leftFromText="180" w:rightFromText="180" w:vertAnchor="text" w:horzAnchor="page" w:tblpX="1094" w:tblpY="159"/>
        <w:tblOverlap w:val="never"/>
        <w:tblW w:w="10377"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037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205" w:hRule="atLeast"/>
        </w:trPr>
        <w:tc>
          <w:tcPr>
            <w:tcW w:w="10377" w:type="dxa"/>
            <w:tcBorders>
              <w:top w:val="single" w:color="000000" w:sz="6" w:space="0"/>
              <w:left w:val="single" w:color="000000" w:sz="6" w:space="0"/>
              <w:bottom w:val="single" w:color="000000" w:sz="6" w:space="0"/>
              <w:right w:val="single" w:color="000000" w:sz="6" w:space="0"/>
            </w:tcBorders>
            <w:shd w:val="clear" w:color="auto" w:fill="FFFFFF"/>
            <w:tcMar>
              <w:left w:w="105" w:type="dxa"/>
              <w:right w:w="105" w:type="dxa"/>
            </w:tcMar>
          </w:tcPr>
          <w:p>
            <w:pPr>
              <w:pStyle w:val="9"/>
              <w:widowControl/>
              <w:spacing w:beforeAutospacing="0" w:after="135" w:afterAutospacing="0" w:line="240" w:lineRule="atLeast"/>
              <w:jc w:val="center"/>
              <w:rPr>
                <w:rFonts w:ascii="Microsoft YaHei UI" w:hAnsi="Microsoft YaHei UI" w:eastAsia="Microsoft YaHei UI" w:cs="Microsoft YaHei UI"/>
                <w:sz w:val="22"/>
                <w:szCs w:val="22"/>
              </w:rPr>
            </w:pPr>
            <w:r>
              <w:rPr>
                <w:rFonts w:hint="eastAsia" w:ascii="仿宋" w:hAnsi="仿宋" w:eastAsia="仿宋" w:cs="仿宋"/>
              </w:rPr>
              <w:t>唯一配送权承诺书</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sz w:val="22"/>
                <w:szCs w:val="22"/>
              </w:rPr>
              <w:t>配送商                       ，兹向重庆市铜梁区人民医院承诺于下：</w:t>
            </w:r>
          </w:p>
          <w:p>
            <w:pPr>
              <w:pStyle w:val="9"/>
              <w:widowControl/>
              <w:spacing w:beforeAutospacing="0" w:after="135" w:afterAutospacing="0" w:line="240" w:lineRule="atLeast"/>
              <w:ind w:firstLine="480"/>
              <w:jc w:val="both"/>
              <w:rPr>
                <w:rFonts w:ascii="Microsoft YaHei UI" w:hAnsi="Microsoft YaHei UI" w:eastAsia="Microsoft YaHei UI" w:cs="Microsoft YaHei UI"/>
                <w:sz w:val="22"/>
                <w:szCs w:val="22"/>
              </w:rPr>
            </w:pPr>
            <w:r>
              <w:rPr>
                <w:rFonts w:hint="eastAsia" w:ascii="仿宋" w:hAnsi="仿宋" w:eastAsia="仿宋" w:cs="仿宋"/>
              </w:rPr>
              <w:t>本公司已取所有产品的生产企业对重庆市铜梁区人民医院的唯一配送权。如有不实，自动丧失中选资格。</w:t>
            </w:r>
          </w:p>
          <w:p>
            <w:pPr>
              <w:pStyle w:val="9"/>
              <w:widowControl/>
              <w:spacing w:beforeAutospacing="0" w:after="135" w:afterAutospacing="0" w:line="405" w:lineRule="atLeast"/>
              <w:jc w:val="both"/>
              <w:rPr>
                <w:rFonts w:ascii="仿宋" w:hAnsi="仿宋" w:eastAsia="仿宋" w:cs="仿宋"/>
                <w:sz w:val="22"/>
                <w:szCs w:val="22"/>
              </w:rPr>
            </w:pPr>
            <w:r>
              <w:rPr>
                <w:rFonts w:hint="eastAsia" w:ascii="仿宋" w:hAnsi="仿宋" w:eastAsia="仿宋" w:cs="仿宋"/>
              </w:rPr>
              <w:t> 生产企业签章：                                                  </w:t>
            </w:r>
            <w:r>
              <w:rPr>
                <w:rFonts w:hint="eastAsia" w:ascii="仿宋" w:hAnsi="仿宋" w:eastAsia="仿宋" w:cs="仿宋"/>
                <w:sz w:val="22"/>
                <w:szCs w:val="22"/>
              </w:rPr>
              <w:t>配送商签：</w:t>
            </w:r>
          </w:p>
          <w:p>
            <w:pPr>
              <w:pStyle w:val="9"/>
              <w:widowControl/>
              <w:spacing w:beforeAutospacing="0" w:after="135" w:afterAutospacing="0" w:line="405" w:lineRule="atLeast"/>
              <w:jc w:val="both"/>
              <w:rPr>
                <w:rFonts w:ascii="Microsoft YaHei UI" w:hAnsi="Microsoft YaHei UI" w:eastAsia="Microsoft YaHei UI" w:cs="Microsoft YaHei UI"/>
                <w:sz w:val="22"/>
                <w:szCs w:val="22"/>
              </w:rPr>
            </w:pPr>
            <w:r>
              <w:rPr>
                <w:rFonts w:hint="eastAsia" w:ascii="仿宋" w:hAnsi="仿宋" w:eastAsia="仿宋" w:cs="仿宋"/>
              </w:rPr>
              <w:t>                                                            签章时间：</w:t>
            </w:r>
          </w:p>
        </w:tc>
      </w:tr>
    </w:tbl>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（五）产品业绩证明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（六）《遴选企业须知》（见附件</w:t>
      </w:r>
      <w:r>
        <w:rPr>
          <w:rFonts w:hint="eastAsia" w:ascii="方正楷体_GBK" w:hAnsi="方正楷体_GBK" w:eastAsia="方正楷体_GBK" w:cs="方正楷体_GBK"/>
          <w:sz w:val="32"/>
          <w:szCs w:val="32"/>
          <w:shd w:val="clear" w:color="auto" w:fill="FFFFFF"/>
          <w:lang w:val="en-US" w:eastAsia="zh-CN"/>
        </w:rPr>
        <w:t>2</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（七）参与人认为需要提供的其他资料，内容格式自拟。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该《产品报价表》上列价格，将在产品样品核验环节之后，在该产品符合医疗质量与安全基本要求的前提下，由遴选组的监督部门作为遴选参与人第一轮报价在现场公布。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r>
        <w:rPr>
          <w:rFonts w:hint="eastAsia" w:ascii="方正仿宋_GBK" w:hAnsi="方正仿宋_GBK" w:eastAsia="方正仿宋_GBK" w:cs="方正仿宋_GBK"/>
          <w:sz w:val="32"/>
          <w:szCs w:val="32"/>
          <w:shd w:val="clear" w:color="auto" w:fill="FFFFFF"/>
        </w:rPr>
        <w:t>监督部门在《产品报价表》签字确认存档。</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联合作出。监督部门签字确认。</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第一轮报价，监督部门在产品报价统计签字确认存档。不符合医疗质量与安全基本要求的产品报价无效，不再在现场公布。遴选组的监督部门对第一轮报价公布后，在符合医疗质量与安全基本要求的每包产品中，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r>
        <w:rPr>
          <w:rFonts w:hint="eastAsia" w:ascii="方正仿宋_GBK" w:hAnsi="方正仿宋_GBK" w:eastAsia="方正仿宋_GBK" w:cs="方正仿宋_GBK"/>
          <w:sz w:val="32"/>
          <w:szCs w:val="32"/>
          <w:shd w:val="clear" w:color="auto" w:fill="FFFFFF"/>
          <w:lang w:eastAsia="zh-CN"/>
        </w:rPr>
        <w:t>。</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其中，医院与中选产品</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制造商选择的配送商签订《意向性购销协议》的协议效期内，协议涉及的中选医用耗材试剂所应用的配套使用的设备平台</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，由医院向该配送商同时采购，协议价格</w:t>
      </w:r>
      <w:r>
        <w:rPr>
          <w:rFonts w:hint="eastAsia" w:ascii="方正仿宋_GBK" w:hAnsi="方正仿宋_GBK" w:eastAsia="方正仿宋_GBK" w:cs="方正仿宋_GBK"/>
          <w:sz w:val="32"/>
          <w:szCs w:val="32"/>
          <w:u w:val="single"/>
          <w:shd w:val="clear" w:color="auto" w:fill="FFFFFF"/>
        </w:rPr>
        <w:t>（——）</w:t>
      </w:r>
      <w:r>
        <w:rPr>
          <w:rFonts w:hint="eastAsia" w:ascii="方正仿宋_GBK" w:hAnsi="方正仿宋_GBK" w:eastAsia="方正仿宋_GBK" w:cs="方正仿宋_GBK"/>
          <w:sz w:val="32"/>
          <w:szCs w:val="32"/>
          <w:shd w:val="clear" w:color="auto" w:fill="FFFFFF"/>
        </w:rPr>
        <w:t>元/台；设备所有权归医院所有；该配送商应免费对上述设备平台进行预防性维护保养，且每年不少于两次。</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凡有意参加本项目论证遴选者，请于本论证遴选公告公布之日起</w:t>
      </w:r>
      <w:r>
        <w:rPr>
          <w:rFonts w:hint="eastAsia" w:ascii="方正仿宋_GBK" w:hAnsi="方正仿宋_GBK" w:eastAsia="方正仿宋_GBK" w:cs="方正仿宋_GBK"/>
          <w:sz w:val="32"/>
          <w:szCs w:val="32"/>
          <w:shd w:val="clear" w:color="auto" w:fill="FFFFFF"/>
          <w:lang w:val="en-US" w:eastAsia="zh-CN"/>
        </w:rPr>
        <w:t>5个工作</w:t>
      </w:r>
      <w:r>
        <w:rPr>
          <w:rFonts w:hint="eastAsia" w:ascii="方正仿宋_GBK" w:hAnsi="方正仿宋_GBK" w:eastAsia="方正仿宋_GBK" w:cs="方正仿宋_GBK"/>
          <w:sz w:val="32"/>
          <w:szCs w:val="32"/>
          <w:shd w:val="clear" w:color="auto" w:fill="FFFFFF"/>
        </w:rPr>
        <w:t>日内，制作《遴选参与文件》（不密封，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三楼）。《遴选参与文件》格式及排列顺序见本公告第三条。逾期送达的或者未送达指定地点的《遴选参与文件》，视为拒绝参与本次遴选，我院不予接收。</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七、遴选会议时间、地点及联系方式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联系人  ：</w:t>
      </w:r>
      <w:r>
        <w:rPr>
          <w:rFonts w:hint="eastAsia" w:ascii="方正仿宋_GBK" w:hAnsi="方正仿宋_GBK" w:eastAsia="方正仿宋_GBK" w:cs="方正仿宋_GBK"/>
          <w:sz w:val="32"/>
          <w:szCs w:val="32"/>
          <w:shd w:val="clear" w:color="auto" w:fill="FFFFFF"/>
          <w:lang w:val="en-US" w:eastAsia="zh-CN"/>
        </w:rPr>
        <w:t>邱</w:t>
      </w:r>
      <w:r>
        <w:rPr>
          <w:rFonts w:hint="eastAsia" w:ascii="方正仿宋_GBK" w:hAnsi="方正仿宋_GBK" w:eastAsia="方正仿宋_GBK" w:cs="方正仿宋_GBK"/>
          <w:sz w:val="32"/>
          <w:szCs w:val="32"/>
          <w:shd w:val="clear" w:color="auto" w:fill="FFFFFF"/>
        </w:rPr>
        <w:t>老师</w:t>
      </w:r>
    </w:p>
    <w:p>
      <w:pPr>
        <w:pStyle w:val="9"/>
        <w:widowControl/>
        <w:spacing w:beforeAutospacing="0" w:afterAutospacing="0" w:line="594" w:lineRule="exact"/>
        <w:ind w:firstLine="640" w:firstLineChars="200"/>
        <w:jc w:val="both"/>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shd w:val="clear" w:color="auto" w:fill="FFFFFF"/>
        </w:rPr>
        <w:t>联系方式: 023-45656</w:t>
      </w:r>
      <w:r>
        <w:rPr>
          <w:rFonts w:hint="eastAsia" w:ascii="方正仿宋_GBK" w:hAnsi="方正仿宋_GBK" w:eastAsia="方正仿宋_GBK" w:cs="方正仿宋_GBK"/>
          <w:sz w:val="32"/>
          <w:szCs w:val="32"/>
          <w:shd w:val="clear" w:color="auto" w:fill="FFFFFF"/>
          <w:lang w:val="en-US" w:eastAsia="zh-CN"/>
        </w:rPr>
        <w:t>313</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邮箱：</w:t>
      </w:r>
      <w:r>
        <w:rPr>
          <w:rFonts w:hint="eastAsia" w:ascii="方正仿宋_GBK" w:hAnsi="方正仿宋_GBK" w:eastAsia="方正仿宋_GBK" w:cs="方正仿宋_GBK"/>
          <w:sz w:val="32"/>
          <w:szCs w:val="32"/>
          <w:shd w:val="clear" w:color="auto" w:fill="FFFFFF"/>
          <w:lang w:val="en-US" w:eastAsia="zh-CN"/>
        </w:rPr>
        <w:t>32914777</w:t>
      </w:r>
      <w:r>
        <w:rPr>
          <w:rFonts w:hint="eastAsia" w:ascii="方正仿宋_GBK" w:hAnsi="方正仿宋_GBK" w:eastAsia="方正仿宋_GBK" w:cs="方正仿宋_GBK"/>
          <w:sz w:val="32"/>
          <w:szCs w:val="32"/>
          <w:shd w:val="clear" w:color="auto" w:fill="FFFFFF"/>
        </w:rPr>
        <w:t>@QQ.COM</w:t>
      </w:r>
    </w:p>
    <w:p>
      <w:pPr>
        <w:pStyle w:val="3"/>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val="en-US" w:eastAsia="zh-CN" w:bidi="ar"/>
        </w:rPr>
        <w:t>杨亚辉主任</w:t>
      </w:r>
    </w:p>
    <w:p>
      <w:pPr>
        <w:ind w:firstLine="640" w:firstLineChars="200"/>
        <w:rPr>
          <w:rFonts w:hint="default" w:eastAsia="方正仿宋_GBK"/>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15802370297</w:t>
      </w:r>
    </w:p>
    <w:p>
      <w:pPr>
        <w:ind w:firstLine="420" w:firstLineChars="200"/>
        <w:rPr>
          <w:rFonts w:hint="default" w:eastAsia="方正仿宋_GBK"/>
          <w:lang w:val="en-US" w:eastAsia="zh-CN"/>
        </w:rPr>
      </w:pPr>
    </w:p>
    <w:p>
      <w:pPr>
        <w:pStyle w:val="2"/>
        <w:sectPr>
          <w:pgSz w:w="11906" w:h="16838"/>
          <w:pgMar w:top="1440" w:right="1803" w:bottom="1440" w:left="1803" w:header="851" w:footer="992" w:gutter="0"/>
          <w:pgNumType w:fmt="decimal"/>
          <w:cols w:space="0" w:num="1"/>
          <w:docGrid w:type="lines" w:linePitch="319" w:charSpace="0"/>
        </w:sectPr>
      </w:pPr>
    </w:p>
    <w:p>
      <w:pPr>
        <w:pStyle w:val="2"/>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pStyle w:val="2"/>
        <w:rPr>
          <w:rFonts w:hint="eastAsia"/>
          <w:lang w:eastAsia="zh-CN"/>
        </w:rPr>
      </w:pPr>
      <w:r>
        <w:rPr>
          <w:rFonts w:hint="eastAsia"/>
          <w:lang w:eastAsia="zh-CN"/>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p>
    <w:p>
      <w:pPr>
        <w:rPr>
          <w:rFonts w:hint="eastAsia"/>
          <w:lang w:eastAsia="zh-CN"/>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32914777@QQ.COM，第一次报价打印盖章并预备第二次及后续报价表（预留单价报价栏）盖章后携带至现场填报；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2</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仿宋" w:hAnsi="仿宋" w:eastAsia="仿宋" w:cs="仿宋"/>
          <w:color w:val="666666"/>
          <w:sz w:val="24"/>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仿宋_GBK" w:hAnsi="方正仿宋_GBK" w:eastAsia="方正仿宋_GBK" w:cs="方正仿宋_GBK"/>
          <w:kern w:val="0"/>
          <w:sz w:val="28"/>
          <w:szCs w:val="28"/>
        </w:rPr>
        <w:t xml:space="preserve">                                    年   月   </w:t>
      </w:r>
    </w:p>
    <w:p>
      <w:pPr>
        <w:pStyle w:val="9"/>
        <w:widowControl/>
        <w:spacing w:beforeAutospacing="0" w:afterAutospacing="0" w:line="594" w:lineRule="exact"/>
        <w:jc w:val="both"/>
        <w:rPr>
          <w:rFonts w:ascii="方正黑体_GBK" w:hAnsi="方正黑体_GBK" w:eastAsia="方正黑体_GBK" w:cs="方正黑体_GBK"/>
          <w:sz w:val="32"/>
          <w:szCs w:val="32"/>
          <w:shd w:val="clear" w:color="auto" w:fill="FFFFFF"/>
        </w:rPr>
      </w:pPr>
    </w:p>
    <w:sectPr>
      <w:pgSz w:w="11906" w:h="16838"/>
      <w:pgMar w:top="1440" w:right="1803" w:bottom="1440" w:left="1803" w:header="851" w:footer="992" w:gutter="0"/>
      <w:pgNumType w:fmt="decimal"/>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FkMDdkM2I2YWU1MzAxMWM1NzU4YTZmM2VkYzNjYTgifQ=="/>
  </w:docVars>
  <w:rsids>
    <w:rsidRoot w:val="2913501D"/>
    <w:rsid w:val="000319EB"/>
    <w:rsid w:val="00147432"/>
    <w:rsid w:val="00241A0C"/>
    <w:rsid w:val="0026645B"/>
    <w:rsid w:val="002C5016"/>
    <w:rsid w:val="00300F89"/>
    <w:rsid w:val="00332837"/>
    <w:rsid w:val="003614E3"/>
    <w:rsid w:val="003955E4"/>
    <w:rsid w:val="004F53F4"/>
    <w:rsid w:val="005B0A25"/>
    <w:rsid w:val="00661976"/>
    <w:rsid w:val="00690969"/>
    <w:rsid w:val="008113B5"/>
    <w:rsid w:val="009C1C7F"/>
    <w:rsid w:val="00A04435"/>
    <w:rsid w:val="00A253C9"/>
    <w:rsid w:val="00BA1646"/>
    <w:rsid w:val="00BB6B11"/>
    <w:rsid w:val="00C82CFD"/>
    <w:rsid w:val="00CB51B6"/>
    <w:rsid w:val="00CF40F0"/>
    <w:rsid w:val="00D10B49"/>
    <w:rsid w:val="00E320F5"/>
    <w:rsid w:val="00E47139"/>
    <w:rsid w:val="00E90750"/>
    <w:rsid w:val="00F81447"/>
    <w:rsid w:val="00F87B51"/>
    <w:rsid w:val="00FE639B"/>
    <w:rsid w:val="00FF0A68"/>
    <w:rsid w:val="012F76AD"/>
    <w:rsid w:val="015B2944"/>
    <w:rsid w:val="0256692A"/>
    <w:rsid w:val="02751295"/>
    <w:rsid w:val="04C837EF"/>
    <w:rsid w:val="06A162D4"/>
    <w:rsid w:val="06CE10EF"/>
    <w:rsid w:val="085E4D7E"/>
    <w:rsid w:val="0A25546E"/>
    <w:rsid w:val="0A4D4E1A"/>
    <w:rsid w:val="0BB059EC"/>
    <w:rsid w:val="0C233F32"/>
    <w:rsid w:val="0C3D7B46"/>
    <w:rsid w:val="0E502E2C"/>
    <w:rsid w:val="10CF5DF5"/>
    <w:rsid w:val="11420988"/>
    <w:rsid w:val="11945AC6"/>
    <w:rsid w:val="11B8311C"/>
    <w:rsid w:val="1239584C"/>
    <w:rsid w:val="1368716E"/>
    <w:rsid w:val="1401481C"/>
    <w:rsid w:val="154B3704"/>
    <w:rsid w:val="15663F67"/>
    <w:rsid w:val="15810A04"/>
    <w:rsid w:val="15C0228C"/>
    <w:rsid w:val="15DD7119"/>
    <w:rsid w:val="16215986"/>
    <w:rsid w:val="16C917DD"/>
    <w:rsid w:val="17303E8A"/>
    <w:rsid w:val="18137B7E"/>
    <w:rsid w:val="186A3C16"/>
    <w:rsid w:val="1A666860"/>
    <w:rsid w:val="1AF716F0"/>
    <w:rsid w:val="1BAE581E"/>
    <w:rsid w:val="1BD45B34"/>
    <w:rsid w:val="1CC24D43"/>
    <w:rsid w:val="1D095D80"/>
    <w:rsid w:val="1D151B23"/>
    <w:rsid w:val="1DB35EB1"/>
    <w:rsid w:val="1DF84B02"/>
    <w:rsid w:val="1DFE3515"/>
    <w:rsid w:val="1EDD6F03"/>
    <w:rsid w:val="2117180B"/>
    <w:rsid w:val="216B754B"/>
    <w:rsid w:val="21881A33"/>
    <w:rsid w:val="21B041AD"/>
    <w:rsid w:val="22B74101"/>
    <w:rsid w:val="236B2973"/>
    <w:rsid w:val="23766A7B"/>
    <w:rsid w:val="23EE3F4D"/>
    <w:rsid w:val="24CA12D6"/>
    <w:rsid w:val="251D1C03"/>
    <w:rsid w:val="25EB176A"/>
    <w:rsid w:val="282211E5"/>
    <w:rsid w:val="282F2169"/>
    <w:rsid w:val="28634F81"/>
    <w:rsid w:val="2913501D"/>
    <w:rsid w:val="2937657E"/>
    <w:rsid w:val="29C05316"/>
    <w:rsid w:val="2A8953E4"/>
    <w:rsid w:val="2AB6066C"/>
    <w:rsid w:val="2AFA1CC7"/>
    <w:rsid w:val="2C08495B"/>
    <w:rsid w:val="2CA22856"/>
    <w:rsid w:val="2E5C7E53"/>
    <w:rsid w:val="2EDB3148"/>
    <w:rsid w:val="32174420"/>
    <w:rsid w:val="33685951"/>
    <w:rsid w:val="33E464A2"/>
    <w:rsid w:val="34585C82"/>
    <w:rsid w:val="34A253F2"/>
    <w:rsid w:val="35036AA1"/>
    <w:rsid w:val="357905CB"/>
    <w:rsid w:val="358513D9"/>
    <w:rsid w:val="362D4443"/>
    <w:rsid w:val="3680137C"/>
    <w:rsid w:val="38220B7D"/>
    <w:rsid w:val="383A2EDB"/>
    <w:rsid w:val="38CB5DBB"/>
    <w:rsid w:val="395C785C"/>
    <w:rsid w:val="39F40FF3"/>
    <w:rsid w:val="3A791B6D"/>
    <w:rsid w:val="3AAD0E29"/>
    <w:rsid w:val="3B575C0B"/>
    <w:rsid w:val="3B6A3B47"/>
    <w:rsid w:val="3BF07DC0"/>
    <w:rsid w:val="3D6076A8"/>
    <w:rsid w:val="3E3A6059"/>
    <w:rsid w:val="3E3A7DF6"/>
    <w:rsid w:val="3EFA7989"/>
    <w:rsid w:val="3F6B203E"/>
    <w:rsid w:val="3F9F2871"/>
    <w:rsid w:val="3FC77F59"/>
    <w:rsid w:val="405E3179"/>
    <w:rsid w:val="42FB257E"/>
    <w:rsid w:val="43511956"/>
    <w:rsid w:val="44D82B2F"/>
    <w:rsid w:val="464A5C43"/>
    <w:rsid w:val="466D58DD"/>
    <w:rsid w:val="46B36399"/>
    <w:rsid w:val="46C84138"/>
    <w:rsid w:val="476F1684"/>
    <w:rsid w:val="48002A7E"/>
    <w:rsid w:val="48A35166"/>
    <w:rsid w:val="48E318F9"/>
    <w:rsid w:val="49E262C6"/>
    <w:rsid w:val="4AB74A93"/>
    <w:rsid w:val="4CB5232C"/>
    <w:rsid w:val="4CF172AB"/>
    <w:rsid w:val="4D6C500D"/>
    <w:rsid w:val="4DCD1407"/>
    <w:rsid w:val="4DF25FFF"/>
    <w:rsid w:val="4F6166CE"/>
    <w:rsid w:val="50040A7A"/>
    <w:rsid w:val="52095286"/>
    <w:rsid w:val="522949EF"/>
    <w:rsid w:val="528457B4"/>
    <w:rsid w:val="52C7243B"/>
    <w:rsid w:val="530414F2"/>
    <w:rsid w:val="53B50C25"/>
    <w:rsid w:val="54234529"/>
    <w:rsid w:val="54CC3EFB"/>
    <w:rsid w:val="551C283D"/>
    <w:rsid w:val="56274408"/>
    <w:rsid w:val="568C3934"/>
    <w:rsid w:val="5720121C"/>
    <w:rsid w:val="573C2832"/>
    <w:rsid w:val="57EE79EA"/>
    <w:rsid w:val="58EC6C77"/>
    <w:rsid w:val="59C37C8C"/>
    <w:rsid w:val="59F94784"/>
    <w:rsid w:val="5AA86F4D"/>
    <w:rsid w:val="5AF544FE"/>
    <w:rsid w:val="5B7A2DD4"/>
    <w:rsid w:val="5CDD2245"/>
    <w:rsid w:val="5D91216F"/>
    <w:rsid w:val="5E8E0D0F"/>
    <w:rsid w:val="5F655441"/>
    <w:rsid w:val="604518C4"/>
    <w:rsid w:val="606D03A2"/>
    <w:rsid w:val="614A49A8"/>
    <w:rsid w:val="61B5050F"/>
    <w:rsid w:val="62BE046D"/>
    <w:rsid w:val="63722379"/>
    <w:rsid w:val="63883B68"/>
    <w:rsid w:val="638A0356"/>
    <w:rsid w:val="63E24175"/>
    <w:rsid w:val="6426629A"/>
    <w:rsid w:val="648857F2"/>
    <w:rsid w:val="6496372C"/>
    <w:rsid w:val="649840F8"/>
    <w:rsid w:val="65124BA6"/>
    <w:rsid w:val="654224FB"/>
    <w:rsid w:val="654D52C4"/>
    <w:rsid w:val="674E6871"/>
    <w:rsid w:val="68120B22"/>
    <w:rsid w:val="682931BA"/>
    <w:rsid w:val="684A71BC"/>
    <w:rsid w:val="68D221D1"/>
    <w:rsid w:val="691033A1"/>
    <w:rsid w:val="6AD248C0"/>
    <w:rsid w:val="6B287715"/>
    <w:rsid w:val="6BB21E1C"/>
    <w:rsid w:val="6BBC1DFD"/>
    <w:rsid w:val="6BC61035"/>
    <w:rsid w:val="6C4966FA"/>
    <w:rsid w:val="6C5C19DE"/>
    <w:rsid w:val="6D7B3142"/>
    <w:rsid w:val="6DEE05F8"/>
    <w:rsid w:val="6E7E68D0"/>
    <w:rsid w:val="6F4B4D9F"/>
    <w:rsid w:val="703065D3"/>
    <w:rsid w:val="70335391"/>
    <w:rsid w:val="70E7242D"/>
    <w:rsid w:val="70E90CBA"/>
    <w:rsid w:val="72707C11"/>
    <w:rsid w:val="733B7A8E"/>
    <w:rsid w:val="735C6E39"/>
    <w:rsid w:val="737A76CA"/>
    <w:rsid w:val="740279E9"/>
    <w:rsid w:val="742F7153"/>
    <w:rsid w:val="744C3441"/>
    <w:rsid w:val="752010CE"/>
    <w:rsid w:val="754430EE"/>
    <w:rsid w:val="756A41FF"/>
    <w:rsid w:val="75AD09C5"/>
    <w:rsid w:val="760778C3"/>
    <w:rsid w:val="769727FB"/>
    <w:rsid w:val="76C17B77"/>
    <w:rsid w:val="78566D0B"/>
    <w:rsid w:val="78BE13F5"/>
    <w:rsid w:val="7AE21B8D"/>
    <w:rsid w:val="7B69054A"/>
    <w:rsid w:val="7C406EC3"/>
    <w:rsid w:val="7D753D57"/>
    <w:rsid w:val="7E1B5B4A"/>
    <w:rsid w:val="7E3027BA"/>
    <w:rsid w:val="7F105956"/>
    <w:rsid w:val="7F543D43"/>
    <w:rsid w:val="7F6E7C99"/>
    <w:rsid w:val="7FFD74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1">
    <w:name w:val="FollowedHyperlink"/>
    <w:basedOn w:val="10"/>
    <w:qFormat/>
    <w:uiPriority w:val="0"/>
    <w:rPr>
      <w:rFonts w:ascii="Helvetica" w:hAnsi="Helvetica" w:eastAsia="Helvetica" w:cs="Helvetica"/>
      <w:color w:val="666666"/>
      <w:sz w:val="18"/>
      <w:szCs w:val="18"/>
      <w:u w:val="none"/>
      <w:shd w:val="clear" w:color="auto" w:fill="2469AA"/>
    </w:rPr>
  </w:style>
  <w:style w:type="character" w:styleId="12">
    <w:name w:val="Emphasis"/>
    <w:basedOn w:val="10"/>
    <w:qFormat/>
    <w:uiPriority w:val="0"/>
  </w:style>
  <w:style w:type="character" w:styleId="13">
    <w:name w:val="HTML Definition"/>
    <w:basedOn w:val="10"/>
    <w:qFormat/>
    <w:uiPriority w:val="0"/>
    <w:rPr>
      <w:sz w:val="0"/>
      <w:szCs w:val="0"/>
      <w:bdr w:val="single" w:color="auto" w:sz="48" w:space="0"/>
    </w:rPr>
  </w:style>
  <w:style w:type="character" w:styleId="14">
    <w:name w:val="HTML Acronym"/>
    <w:basedOn w:val="10"/>
    <w:qFormat/>
    <w:uiPriority w:val="0"/>
  </w:style>
  <w:style w:type="character" w:styleId="15">
    <w:name w:val="HTML Variable"/>
    <w:basedOn w:val="10"/>
    <w:qFormat/>
    <w:uiPriority w:val="0"/>
  </w:style>
  <w:style w:type="character" w:styleId="16">
    <w:name w:val="Hyperlink"/>
    <w:basedOn w:val="10"/>
    <w:qFormat/>
    <w:uiPriority w:val="0"/>
    <w:rPr>
      <w:color w:val="666666"/>
      <w:u w:val="none"/>
    </w:rPr>
  </w:style>
  <w:style w:type="character" w:styleId="17">
    <w:name w:val="HTML Code"/>
    <w:basedOn w:val="10"/>
    <w:qFormat/>
    <w:uiPriority w:val="0"/>
    <w:rPr>
      <w:rFonts w:ascii="Courier New" w:hAnsi="Courier New"/>
      <w:sz w:val="20"/>
    </w:rPr>
  </w:style>
  <w:style w:type="character" w:styleId="18">
    <w:name w:val="HTML Cite"/>
    <w:basedOn w:val="10"/>
    <w:qFormat/>
    <w:uiPriority w:val="0"/>
  </w:style>
  <w:style w:type="character" w:customStyle="1" w:styleId="20">
    <w:name w:val="state-being"/>
    <w:basedOn w:val="10"/>
    <w:qFormat/>
    <w:uiPriority w:val="0"/>
    <w:rPr>
      <w:color w:val="00C400"/>
    </w:rPr>
  </w:style>
  <w:style w:type="character" w:customStyle="1" w:styleId="21">
    <w:name w:val="jiaobox"/>
    <w:basedOn w:val="10"/>
    <w:qFormat/>
    <w:uiPriority w:val="0"/>
  </w:style>
  <w:style w:type="character" w:customStyle="1" w:styleId="22">
    <w:name w:val="l-btn-text"/>
    <w:basedOn w:val="10"/>
    <w:qFormat/>
    <w:uiPriority w:val="0"/>
    <w:rPr>
      <w:color w:val="0B80C4"/>
    </w:rPr>
  </w:style>
  <w:style w:type="character" w:customStyle="1" w:styleId="23">
    <w:name w:val="but_right"/>
    <w:basedOn w:val="10"/>
    <w:qFormat/>
    <w:uiPriority w:val="0"/>
  </w:style>
  <w:style w:type="character" w:customStyle="1" w:styleId="24">
    <w:name w:val="cancel-order"/>
    <w:basedOn w:val="10"/>
    <w:qFormat/>
    <w:uiPriority w:val="0"/>
  </w:style>
  <w:style w:type="character" w:customStyle="1" w:styleId="25">
    <w:name w:val="state-wait"/>
    <w:basedOn w:val="10"/>
    <w:qFormat/>
    <w:uiPriority w:val="0"/>
    <w:rPr>
      <w:color w:val="1C9CE7"/>
    </w:rPr>
  </w:style>
  <w:style w:type="character" w:customStyle="1" w:styleId="26">
    <w:name w:val="pagenum-text"/>
    <w:basedOn w:val="10"/>
    <w:qFormat/>
    <w:uiPriority w:val="0"/>
    <w:rPr>
      <w:sz w:val="18"/>
      <w:szCs w:val="18"/>
    </w:rPr>
  </w:style>
  <w:style w:type="character" w:customStyle="1" w:styleId="27">
    <w:name w:val="pwd-grade1"/>
    <w:basedOn w:val="10"/>
    <w:qFormat/>
    <w:uiPriority w:val="0"/>
    <w:rPr>
      <w:shd w:val="clear" w:color="auto" w:fill="FF3304"/>
    </w:rPr>
  </w:style>
  <w:style w:type="character" w:customStyle="1" w:styleId="28">
    <w:name w:val="pwd-grade11"/>
    <w:basedOn w:val="10"/>
    <w:qFormat/>
    <w:uiPriority w:val="0"/>
    <w:rPr>
      <w:shd w:val="clear" w:color="auto" w:fill="FF3301"/>
    </w:rPr>
  </w:style>
  <w:style w:type="character" w:customStyle="1" w:styleId="29">
    <w:name w:val="pwd-grade12"/>
    <w:basedOn w:val="10"/>
    <w:qFormat/>
    <w:uiPriority w:val="0"/>
    <w:rPr>
      <w:shd w:val="clear" w:color="auto" w:fill="FF3301"/>
    </w:rPr>
  </w:style>
  <w:style w:type="character" w:customStyle="1" w:styleId="30">
    <w:name w:val="pwd-grade2"/>
    <w:basedOn w:val="10"/>
    <w:qFormat/>
    <w:uiPriority w:val="0"/>
    <w:rPr>
      <w:shd w:val="clear" w:color="auto" w:fill="BFBFBF"/>
    </w:rPr>
  </w:style>
  <w:style w:type="character" w:customStyle="1" w:styleId="31">
    <w:name w:val="pwd-grade21"/>
    <w:basedOn w:val="10"/>
    <w:qFormat/>
    <w:uiPriority w:val="0"/>
    <w:rPr>
      <w:shd w:val="clear" w:color="auto" w:fill="0B80C4"/>
    </w:rPr>
  </w:style>
  <w:style w:type="character" w:customStyle="1" w:styleId="32">
    <w:name w:val="pwd-grade22"/>
    <w:basedOn w:val="10"/>
    <w:qFormat/>
    <w:uiPriority w:val="0"/>
    <w:rPr>
      <w:shd w:val="clear" w:color="auto" w:fill="0B80C4"/>
    </w:rPr>
  </w:style>
  <w:style w:type="character" w:customStyle="1" w:styleId="33">
    <w:name w:val="pwd-grade3"/>
    <w:basedOn w:val="10"/>
    <w:qFormat/>
    <w:uiPriority w:val="0"/>
    <w:rPr>
      <w:shd w:val="clear" w:color="auto" w:fill="BFBFBF"/>
    </w:rPr>
  </w:style>
  <w:style w:type="character" w:customStyle="1" w:styleId="34">
    <w:name w:val="pwd-grade31"/>
    <w:basedOn w:val="10"/>
    <w:qFormat/>
    <w:uiPriority w:val="0"/>
    <w:rPr>
      <w:shd w:val="clear" w:color="auto" w:fill="BFBFBF"/>
    </w:rPr>
  </w:style>
  <w:style w:type="character" w:customStyle="1" w:styleId="35">
    <w:name w:val="pwd-grade32"/>
    <w:basedOn w:val="10"/>
    <w:qFormat/>
    <w:uiPriority w:val="0"/>
    <w:rPr>
      <w:shd w:val="clear" w:color="auto" w:fill="90B71B"/>
    </w:rPr>
  </w:style>
  <w:style w:type="character" w:customStyle="1" w:styleId="36">
    <w:name w:val="prev"/>
    <w:basedOn w:val="10"/>
    <w:qFormat/>
    <w:uiPriority w:val="0"/>
    <w:rPr>
      <w:rFonts w:ascii="宋体" w:hAnsi="宋体" w:eastAsia="宋体" w:cs="宋体"/>
    </w:rPr>
  </w:style>
  <w:style w:type="character" w:customStyle="1" w:styleId="37">
    <w:name w:val="page-disabled"/>
    <w:basedOn w:val="10"/>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0"/>
    <w:qFormat/>
    <w:uiPriority w:val="0"/>
  </w:style>
  <w:style w:type="character" w:customStyle="1" w:styleId="39">
    <w:name w:val="next1"/>
    <w:basedOn w:val="10"/>
    <w:qFormat/>
    <w:uiPriority w:val="0"/>
    <w:rPr>
      <w:rFonts w:hint="eastAsia" w:ascii="宋体" w:hAnsi="宋体" w:eastAsia="宋体" w:cs="宋体"/>
    </w:rPr>
  </w:style>
  <w:style w:type="character" w:customStyle="1" w:styleId="40">
    <w:name w:val="current2"/>
    <w:basedOn w:val="10"/>
    <w:qFormat/>
    <w:uiPriority w:val="0"/>
    <w:rPr>
      <w:color w:val="FFFFFF"/>
      <w:bdr w:val="single" w:color="1C9CE7" w:sz="6" w:space="0"/>
      <w:shd w:val="clear" w:color="auto" w:fill="1C9CE7"/>
    </w:rPr>
  </w:style>
  <w:style w:type="character" w:customStyle="1" w:styleId="41">
    <w:name w:val="user"/>
    <w:basedOn w:val="10"/>
    <w:qFormat/>
    <w:uiPriority w:val="0"/>
  </w:style>
  <w:style w:type="character" w:customStyle="1" w:styleId="42">
    <w:name w:val="time2"/>
    <w:basedOn w:val="10"/>
    <w:qFormat/>
    <w:uiPriority w:val="0"/>
  </w:style>
  <w:style w:type="character" w:customStyle="1" w:styleId="43">
    <w:name w:val="state"/>
    <w:basedOn w:val="10"/>
    <w:qFormat/>
    <w:uiPriority w:val="0"/>
  </w:style>
  <w:style w:type="character" w:customStyle="1" w:styleId="44">
    <w:name w:val="time"/>
    <w:basedOn w:val="10"/>
    <w:qFormat/>
    <w:uiPriority w:val="0"/>
    <w:rPr>
      <w:color w:val="595959"/>
    </w:rPr>
  </w:style>
  <w:style w:type="character" w:customStyle="1" w:styleId="45">
    <w:name w:val="money"/>
    <w:basedOn w:val="10"/>
    <w:qFormat/>
    <w:uiPriority w:val="0"/>
  </w:style>
  <w:style w:type="character" w:customStyle="1" w:styleId="46">
    <w:name w:val="send"/>
    <w:basedOn w:val="10"/>
    <w:qFormat/>
    <w:uiPriority w:val="0"/>
  </w:style>
  <w:style w:type="character" w:customStyle="1" w:styleId="47">
    <w:name w:val="checkfield"/>
    <w:basedOn w:val="10"/>
    <w:qFormat/>
    <w:uiPriority w:val="0"/>
  </w:style>
  <w:style w:type="character" w:customStyle="1" w:styleId="48">
    <w:name w:val="send2"/>
    <w:basedOn w:val="10"/>
    <w:qFormat/>
    <w:uiPriority w:val="0"/>
  </w:style>
  <w:style w:type="character" w:customStyle="1" w:styleId="49">
    <w:name w:val="time3"/>
    <w:basedOn w:val="10"/>
    <w:qFormat/>
    <w:uiPriority w:val="0"/>
  </w:style>
  <w:style w:type="character" w:customStyle="1" w:styleId="50">
    <w:name w:val="number"/>
    <w:basedOn w:val="10"/>
    <w:qFormat/>
    <w:uiPriority w:val="0"/>
  </w:style>
  <w:style w:type="character" w:customStyle="1" w:styleId="51">
    <w:name w:val="operate"/>
    <w:basedOn w:val="10"/>
    <w:qFormat/>
    <w:uiPriority w:val="0"/>
  </w:style>
  <w:style w:type="character" w:customStyle="1" w:styleId="52">
    <w:name w:val="next"/>
    <w:basedOn w:val="10"/>
    <w:qFormat/>
    <w:uiPriority w:val="0"/>
    <w:rPr>
      <w:rFonts w:ascii="宋体" w:hAnsi="宋体" w:eastAsia="宋体" w:cs="宋体"/>
    </w:rPr>
  </w:style>
  <w:style w:type="character" w:customStyle="1" w:styleId="53">
    <w:name w:val="prev1"/>
    <w:basedOn w:val="10"/>
    <w:qFormat/>
    <w:uiPriority w:val="0"/>
    <w:rPr>
      <w:rFonts w:hint="eastAsia" w:ascii="宋体" w:hAnsi="宋体" w:eastAsia="宋体" w:cs="宋体"/>
    </w:rPr>
  </w:style>
  <w:style w:type="character" w:customStyle="1" w:styleId="54">
    <w:name w:val="current1"/>
    <w:basedOn w:val="10"/>
    <w:qFormat/>
    <w:uiPriority w:val="0"/>
    <w:rPr>
      <w:color w:val="FFFFFF"/>
      <w:bdr w:val="single" w:color="1C9CE7" w:sz="6" w:space="0"/>
      <w:shd w:val="clear" w:color="auto" w:fill="1C9CE7"/>
    </w:rPr>
  </w:style>
  <w:style w:type="character" w:customStyle="1" w:styleId="55">
    <w:name w:val="font21"/>
    <w:basedOn w:val="10"/>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0"/>
    <w:qFormat/>
    <w:uiPriority w:val="0"/>
    <w:rPr>
      <w:rFonts w:hint="eastAsia" w:ascii="微软雅黑" w:hAnsi="微软雅黑" w:eastAsia="微软雅黑" w:cs="微软雅黑"/>
      <w:color w:val="5E5E5E"/>
      <w:sz w:val="22"/>
      <w:szCs w:val="22"/>
      <w:u w:val="single"/>
    </w:rPr>
  </w:style>
  <w:style w:type="character" w:customStyle="1" w:styleId="57">
    <w:name w:val="font31"/>
    <w:basedOn w:val="10"/>
    <w:qFormat/>
    <w:uiPriority w:val="0"/>
    <w:rPr>
      <w:rFonts w:hint="eastAsia" w:ascii="微软雅黑" w:hAnsi="微软雅黑" w:eastAsia="微软雅黑" w:cs="微软雅黑"/>
      <w:color w:val="5E5E5E"/>
      <w:sz w:val="22"/>
      <w:szCs w:val="22"/>
      <w:u w:val="none"/>
    </w:rPr>
  </w:style>
  <w:style w:type="character" w:customStyle="1" w:styleId="58">
    <w:name w:val="font11"/>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1431</Words>
  <Characters>8161</Characters>
  <Lines>68</Lines>
  <Paragraphs>19</Paragraphs>
  <TotalTime>7</TotalTime>
  <ScaleCrop>false</ScaleCrop>
  <LinksUpToDate>false</LinksUpToDate>
  <CharactersWithSpaces>9573</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2023-11-30T10:11:00Z</dcterms:created>
  <dc:creator>Administrator</dc:creator>
  <cp:lastModifiedBy>Administrator</cp:lastModifiedBy>
  <cp:lastPrinted>2024-03-14T00:19:00Z</cp:lastPrinted>
  <dcterms:modified xsi:type="dcterms:W3CDTF">2025-08-28T04:00:48Z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8C8BC8348D114803894ADB33C763EADF_13</vt:lpwstr>
  </property>
</Properties>
</file>