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重庆市铜梁区人民医院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医疗设备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需求论证调研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公告</w:t>
      </w:r>
    </w:p>
    <w:p>
      <w:pP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重庆市铜梁区人民医院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拟采购下列医疗设备，现公开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需求论证调研，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征集设备参数及报价，欢迎符合条件的厂家或经销商参与。现将有关事宜公告如下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OLE_LINK1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拟采购设备清单：</w:t>
      </w:r>
    </w:p>
    <w:bookmarkEnd w:id="0"/>
    <w:tbl>
      <w:tblPr>
        <w:tblStyle w:val="7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703"/>
        <w:gridCol w:w="1015"/>
        <w:gridCol w:w="219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预算单价（万元）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使用科室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bookmarkStart w:id="1" w:name="OLE_LINK5"/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病理全自动组织脱水机</w:t>
            </w:r>
            <w:bookmarkEnd w:id="1"/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高频振动排痰系统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呼吸与危重症医学科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、神经外科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2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视频插管软镜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输尿管内窥镜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2套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恒温箱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医用冰箱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药剂科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OLE_LINK1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输尿管硬镜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医用加热垫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高频电刀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3台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麻醉科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（一）病理全自动组织脱水机需求及功能要求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4" w:name="OLE_LINK4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1.拟购置设备</w:t>
      </w:r>
      <w:bookmarkEnd w:id="4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具有双气泵，一个气泵坏了的情况下另外一个气泵可以接替工作，保障脱水。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2.拟购置设备具备电子开关锁。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3.拟购置设备具备酒精浓度检测功能，能够实时的检测酒精浓度。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4.拟购置设备具有陶瓷旋转阀。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5.拟购置设备具备一键换液功能。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5" w:name="OLE_LINK7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（二）高频振动排痰系统需求及功能要求</w:t>
      </w:r>
    </w:p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用于胸腔外部处置时进行气道清除治疗，适用于分泌物排出困难或由粘液阻塞引起的肺膨胀不全的成人患。者，同时，促进气道清除或改善支气管引流，为诊断评估收集粘液。拟购置设备为背心式。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6" w:name="OLE_LINK9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（三）视频插管软镜需求及功能要求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用于对患者进行气管插管及床旁经纤支镜治疗（吸痰、止血、取异物、滴药）。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7" w:name="OLE_LINK14"/>
      <w:bookmarkStart w:id="8" w:name="OLE_LINK12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输尿管内窥镜需求及功能要求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用于经尿道通过膀胱进入输尿管的观察成像和诊断。</w:t>
      </w:r>
    </w:p>
    <w:bookmarkEnd w:id="8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9" w:name="OLE_LINK16"/>
      <w:bookmarkStart w:id="10" w:name="OLE_LINK17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恒温箱需求及功能要求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用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于前列腺等离子电切术、膀胱镜电切术、血尿病人等膀胱冲洗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设备有效容积≥430L，温度可调可，温度范围至少2~48℃，触屏控制按键，并且具有温度锁定功能；至少具备两个风机，五排出风口。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11" w:name="OLE_LINK2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医用冰箱需求及功能要求</w:t>
      </w:r>
    </w:p>
    <w:bookmarkEnd w:id="1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1.拟购置设备能够满足GCP基地运行的药品储存、温湿度控制等各方面的要求。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2.有效容积≥890L，立式对开门。</w:t>
      </w:r>
    </w:p>
    <w:p>
      <w:pPr>
        <w:pStyle w:val="2"/>
        <w:ind w:left="0" w:leftChars="0" w:firstLine="640" w:firstLineChars="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3.具备数字显示箱内温度，箱内温度恒定至少控制在2℃~8℃范围内，调整增量至少为0.1℃；设备同时具有湿度控制和湿度显示，箱内湿度范围至少35~75%Rh，湿度显示精度至少0.1%Rh。</w:t>
      </w:r>
    </w:p>
    <w:p>
      <w:pPr>
        <w:pStyle w:val="2"/>
        <w:ind w:left="0" w:leftChars="0" w:firstLine="640" w:firstLineChars="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4.具备安全系统：超温报警、传感器故障报警、超湿报警、断电报警和开门报警；两种报警方式：蜂鸣器报警和灯光闪烁报警。配有远程报警接口。</w:t>
      </w:r>
    </w:p>
    <w:p>
      <w:pPr>
        <w:pStyle w:val="2"/>
        <w:ind w:left="0" w:leftChars="0" w:firstLine="640" w:firstLineChars="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5.每个门体带锁设计，且是一把钥匙一把锁，并配有挂锁锁孔，保证存储物品的安全。</w:t>
      </w:r>
    </w:p>
    <w:p>
      <w:pPr>
        <w:pStyle w:val="2"/>
        <w:ind w:left="0" w:leftChars="0" w:firstLine="640" w:firstLineChars="0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6.配置≥12个带价目条的搁架，可以根据实际使用情况调整搁架间距。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输尿管硬镜需求及功能要求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eastAsia="zh-CN" w:bidi="ar-SA"/>
        </w:rPr>
        <w:t>输尿管镜通过尿道、膀胱进入输尿管，医生可在无创情况下的观察患者尿道、膀胱及输尿管的病变情况，并且可通过器械或激光光纤进行碎石。用于泌尿外科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开展经输尿管镜下泌尿系结石（肾、输尿管、膀胱及尿道结石）手术、输尿管镜检查、取活检手术、输尿管镜下异物取出等。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12" w:name="OLE_LINK22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医用加热垫需求及功能要求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用于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eastAsia="zh-CN" w:bidi="ar-SA"/>
        </w:rPr>
        <w:t>手术和急救期间，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eastAsia="zh-CN" w:bidi="ar-SA"/>
        </w:rPr>
        <w:t>通过对患者皮肤加热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eastAsia="zh-CN" w:bidi="ar-SA"/>
        </w:rPr>
        <w:t>帮助患者维持体温，对患者体温进行有效管理。</w:t>
      </w:r>
    </w:p>
    <w:bookmarkEnd w:id="12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13" w:name="OLE_LINK25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高频电刀需求及功能要求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用于手术中快速切割组织和凝血。适用于多种外科手术，普通外科、血管外科、肝胆胰外科、心脏外科、肠胃科、TURP和TUVP，还可兼容使用膀胱镜、关节镜、腹腔镜和子宫镜手术。</w:t>
      </w:r>
    </w:p>
    <w:bookmarkEnd w:id="10"/>
    <w:bookmarkEnd w:id="13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提交材料及相关要求：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推介产品技术参数（按附件1模版制作，加盖公章）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推介产品医疗器械生产许可证、注册证、产品彩页等资料（复印件加盖公章）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产品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同品牌同型号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近三年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以来在重庆或其他省市级三甲医院供货业绩（以签订合同时间为准，不少于2份），提供中标通知书及完整供货合同，同时提供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重庆市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内用户名单（列明联系人及联系方式）。提供复印件并加盖公章。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投递人为经销商参加的，需要提供推介产品生产厂家的授权书并加盖生产厂家的鲜章。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特殊说明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（一）本次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活动仅为编制设备技术参数使用，非招标资格预审。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人相关资料一经递交后，不予退回。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（二）无论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单位是否采用，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人应保证所递交的技术参数或配置要求，不产生因第三方提出侵犯其专利权、商标权或其它知识产权而引起的法律和经济纠纷，如因专利权、商标权或其它知识产权而引起法律和经济纠纷，由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人承担所有相关责任。对所有自愿递交参数征集资料的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人，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单位不给予任何形式的经济和物资补偿，一切费用均由投递人自行承担。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单位有权针对技术参数不了解、不清楚的地方对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人提供的技术负责人进行询问，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推介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人应保证相关人员能够及时回复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单位的问题。在规定时间内拒绝回复的，视为自动放弃。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（四）本次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需求论证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活动为项目开展前的市场调研及询价阶段，本项目招标将在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论证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活动结束后严格按照法律法规要求组织招标活动。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14" w:name="OLE_LINK3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递交时间及方式：</w:t>
      </w:r>
    </w:p>
    <w:bookmarkEnd w:id="14"/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需提供电子版文件，电子版文件名请标明参与设备序号、设备名称和品牌，不接受纸质版。2025年8月29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:00前递交，逾期递交的恕不接受。</w:t>
      </w:r>
      <w:bookmarkStart w:id="15" w:name="_GoBack"/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时间内将纸质文件（盖章齐全）原件扫描成一个pdf格式（须用彩色扫描），同时将电子文档（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另外附件1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需提供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可编辑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word版）放到一个压缩包内，随扫描件一同发送至指定邮箱（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压缩文件名请标明参与设备序号、设备名称和品牌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需求论证单位：重庆市铜梁区人民医院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联 系 人：韦老师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联系电话：02345656313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资料接收邮箱：136356757@qq.com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重庆市铜梁区人民医院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2025年8月22日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FD4A2"/>
    <w:multiLevelType w:val="singleLevel"/>
    <w:tmpl w:val="81BFD4A2"/>
    <w:lvl w:ilvl="0" w:tentative="0">
      <w:start w:val="4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EEABAD6D"/>
    <w:multiLevelType w:val="singleLevel"/>
    <w:tmpl w:val="EEABAD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7364B85"/>
    <w:multiLevelType w:val="singleLevel"/>
    <w:tmpl w:val="07364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F803BF"/>
    <w:multiLevelType w:val="singleLevel"/>
    <w:tmpl w:val="60F803BF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WFiZTllYTMxZTViZGU0NzJiMmYyOWVlNDU2M2EifQ=="/>
    <w:docVar w:name="KSO_WPS_MARK_KEY" w:val="0ff7ed5b-0bb0-4c09-bcc6-29deef999667"/>
  </w:docVars>
  <w:rsids>
    <w:rsidRoot w:val="5B3340E6"/>
    <w:rsid w:val="01216A1E"/>
    <w:rsid w:val="070B34B5"/>
    <w:rsid w:val="098254F9"/>
    <w:rsid w:val="10E57AAF"/>
    <w:rsid w:val="12816565"/>
    <w:rsid w:val="136C2E7F"/>
    <w:rsid w:val="173A1AB7"/>
    <w:rsid w:val="17AD1B61"/>
    <w:rsid w:val="1F8A1A47"/>
    <w:rsid w:val="31B41CC9"/>
    <w:rsid w:val="370E0594"/>
    <w:rsid w:val="37C46DA0"/>
    <w:rsid w:val="45F44215"/>
    <w:rsid w:val="47A2515E"/>
    <w:rsid w:val="4916416F"/>
    <w:rsid w:val="57230381"/>
    <w:rsid w:val="585D7B1E"/>
    <w:rsid w:val="5B3340E6"/>
    <w:rsid w:val="67686917"/>
    <w:rsid w:val="6A9B6084"/>
    <w:rsid w:val="72CA6465"/>
    <w:rsid w:val="76E11DC5"/>
    <w:rsid w:val="772D67CD"/>
    <w:rsid w:val="77DF387B"/>
    <w:rsid w:val="77EC50EB"/>
    <w:rsid w:val="7C8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楷体"/>
      <w:color w:val="000000"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uiPriority w:val="0"/>
    <w:pPr>
      <w:spacing w:line="594" w:lineRule="exact"/>
      <w:ind w:firstLine="880" w:firstLineChars="200"/>
    </w:pPr>
    <w:rPr>
      <w:rFonts w:hint="eastAsia" w:ascii="Times New Roman" w:hAnsi="Times New Roman" w:eastAsia="方正仿宋_GBK" w:cs="Times New Roman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2016</Words>
  <Characters>2113</Characters>
  <Lines>0</Lines>
  <Paragraphs>0</Paragraphs>
  <TotalTime>13</TotalTime>
  <ScaleCrop>false</ScaleCrop>
  <LinksUpToDate>false</LinksUpToDate>
  <CharactersWithSpaces>2124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2024-12-12T08:31:00Z</dcterms:created>
  <dc:creator>Administrator</dc:creator>
  <cp:lastModifiedBy>hp</cp:lastModifiedBy>
  <cp:lastPrinted>2025-03-19T00:48:00Z</cp:lastPrinted>
  <dcterms:modified xsi:type="dcterms:W3CDTF">2025-08-22T02:16:41Z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6C590A6FF7274A53BA844C018CE676EE</vt:lpwstr>
  </property>
</Properties>
</file>